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7ABC8">
      <w:pPr>
        <w:pStyle w:val="5"/>
        <w:bidi w:val="0"/>
        <w:rPr>
          <w:rFonts w:hint="eastAsia"/>
          <w:sz w:val="40"/>
          <w:szCs w:val="40"/>
          <w:lang w:val="en-US" w:eastAsia="zh-CN"/>
        </w:rPr>
      </w:pPr>
      <w:r>
        <w:rPr>
          <w:rFonts w:hint="eastAsia"/>
          <w:sz w:val="40"/>
          <w:szCs w:val="40"/>
        </w:rPr>
        <w:t>景德镇市中心城区</w:t>
      </w:r>
      <w:r>
        <w:rPr>
          <w:rFonts w:hint="eastAsia"/>
          <w:sz w:val="40"/>
          <w:szCs w:val="40"/>
          <w:lang w:eastAsia="zh-CN"/>
        </w:rPr>
        <w:t>户外广告设施设置</w:t>
      </w:r>
      <w:r>
        <w:rPr>
          <w:rFonts w:hint="eastAsia"/>
          <w:sz w:val="40"/>
          <w:szCs w:val="40"/>
        </w:rPr>
        <w:t>专项规划</w:t>
      </w:r>
      <w:r>
        <w:rPr>
          <w:rFonts w:hint="eastAsia"/>
          <w:sz w:val="40"/>
          <w:szCs w:val="40"/>
          <w:lang w:eastAsia="zh-CN"/>
        </w:rPr>
        <w:t>（</w:t>
      </w:r>
      <w:r>
        <w:rPr>
          <w:rFonts w:hint="eastAsia"/>
          <w:sz w:val="40"/>
          <w:szCs w:val="40"/>
          <w:lang w:val="en-US" w:eastAsia="zh-CN"/>
        </w:rPr>
        <w:t>2025-2035年</w:t>
      </w:r>
      <w:r>
        <w:rPr>
          <w:rFonts w:hint="eastAsia"/>
          <w:sz w:val="40"/>
          <w:szCs w:val="40"/>
          <w:lang w:eastAsia="zh-CN"/>
        </w:rPr>
        <w:t>）</w:t>
      </w:r>
      <w:r>
        <w:rPr>
          <w:rFonts w:hint="eastAsia"/>
          <w:sz w:val="40"/>
          <w:szCs w:val="40"/>
        </w:rPr>
        <w:t>公示</w:t>
      </w:r>
      <w:r>
        <w:rPr>
          <w:rFonts w:hint="eastAsia"/>
          <w:sz w:val="40"/>
          <w:szCs w:val="40"/>
          <w:lang w:val="en-US" w:eastAsia="zh-CN"/>
        </w:rPr>
        <w:t>材料</w:t>
      </w:r>
    </w:p>
    <w:p w14:paraId="61DD43EF">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为加强城市户外广告设施管理，规范户外广告设施设置，展示城市文化，</w:t>
      </w:r>
      <w:r>
        <w:rPr>
          <w:rFonts w:hint="eastAsia"/>
          <w:color w:val="auto"/>
          <w:lang w:val="en-US" w:eastAsia="zh-CN"/>
        </w:rPr>
        <w:t>塑造良好城市形象，我</w:t>
      </w:r>
      <w:r>
        <w:rPr>
          <w:rFonts w:hint="eastAsia"/>
        </w:rPr>
        <w:t>局组织编制了</w:t>
      </w:r>
      <w:r>
        <w:rPr>
          <w:rFonts w:hint="eastAsia"/>
          <w:color w:val="auto"/>
        </w:rPr>
        <w:t>《</w:t>
      </w:r>
      <w:r>
        <w:rPr>
          <w:rFonts w:hint="eastAsia"/>
          <w:color w:val="auto"/>
          <w:lang w:eastAsia="zh-CN"/>
        </w:rPr>
        <w:t>景德镇市</w:t>
      </w:r>
      <w:r>
        <w:rPr>
          <w:rFonts w:hint="eastAsia"/>
          <w:color w:val="auto"/>
          <w:lang w:val="en-US" w:eastAsia="zh-CN"/>
        </w:rPr>
        <w:t>中心城区</w:t>
      </w:r>
      <w:r>
        <w:rPr>
          <w:rFonts w:hint="eastAsia"/>
          <w:color w:val="auto"/>
          <w:lang w:eastAsia="zh-CN"/>
        </w:rPr>
        <w:t>户外广告设施设置</w:t>
      </w:r>
      <w:r>
        <w:rPr>
          <w:rFonts w:hint="eastAsia"/>
          <w:color w:val="auto"/>
        </w:rPr>
        <w:t>专项规划</w:t>
      </w:r>
      <w:r>
        <w:rPr>
          <w:rFonts w:hint="eastAsia"/>
          <w:color w:val="auto"/>
          <w:lang w:eastAsia="zh-CN"/>
        </w:rPr>
        <w:t>（</w:t>
      </w:r>
      <w:r>
        <w:rPr>
          <w:rFonts w:hint="eastAsia"/>
          <w:color w:val="auto"/>
        </w:rPr>
        <w:t>202</w:t>
      </w:r>
      <w:r>
        <w:rPr>
          <w:rFonts w:hint="eastAsia"/>
          <w:color w:val="auto"/>
          <w:lang w:val="en-US" w:eastAsia="zh-CN"/>
        </w:rPr>
        <w:t>5</w:t>
      </w:r>
      <w:r>
        <w:rPr>
          <w:rFonts w:hint="eastAsia"/>
          <w:color w:val="auto"/>
        </w:rPr>
        <w:t>—2035</w:t>
      </w:r>
      <w:r>
        <w:rPr>
          <w:rFonts w:hint="eastAsia"/>
          <w:color w:val="auto"/>
          <w:lang w:val="en-US" w:eastAsia="zh-CN"/>
        </w:rPr>
        <w:t>年</w:t>
      </w:r>
      <w:r>
        <w:rPr>
          <w:rFonts w:hint="eastAsia"/>
          <w:color w:val="auto"/>
          <w:lang w:eastAsia="zh-CN"/>
        </w:rPr>
        <w:t>）</w:t>
      </w:r>
      <w:r>
        <w:rPr>
          <w:rFonts w:hint="eastAsia"/>
          <w:color w:val="auto"/>
        </w:rPr>
        <w:t>》</w:t>
      </w:r>
      <w:r>
        <w:rPr>
          <w:rFonts w:hint="eastAsia"/>
        </w:rPr>
        <w:t>。</w:t>
      </w:r>
      <w:r>
        <w:rPr>
          <w:rFonts w:hint="eastAsia" w:ascii="Times New Roman" w:hAnsi="Times New Roman" w:eastAsia="仿宋_GB2312" w:cs="Times New Roman"/>
          <w:kern w:val="2"/>
          <w:sz w:val="30"/>
          <w:lang w:val="en-US" w:eastAsia="zh-CN"/>
        </w:rPr>
        <w:t>目前该规划方案已通过了专家评审会审查并按照“专家评审会意见”修改完善。为进一步增强规划审批工作的透明度，推进规划管理的科学化、法制化，现对该</w:t>
      </w:r>
      <w:r>
        <w:rPr>
          <w:rFonts w:hint="eastAsia" w:cs="Times New Roman"/>
          <w:kern w:val="2"/>
          <w:sz w:val="30"/>
          <w:lang w:val="en-US" w:eastAsia="zh-CN"/>
        </w:rPr>
        <w:t>规划</w:t>
      </w:r>
      <w:r>
        <w:rPr>
          <w:rFonts w:hint="eastAsia" w:ascii="Times New Roman" w:hAnsi="Times New Roman" w:eastAsia="仿宋_GB2312" w:cs="Times New Roman"/>
          <w:kern w:val="2"/>
          <w:sz w:val="30"/>
          <w:lang w:val="en-US" w:eastAsia="zh-CN"/>
        </w:rPr>
        <w:t>进行公示，广泛征求社会各界各部门及公众意见。</w:t>
      </w:r>
    </w:p>
    <w:p w14:paraId="304D630A">
      <w:pPr>
        <w:pStyle w:val="6"/>
        <w:bidi w:val="0"/>
        <w:rPr>
          <w:rFonts w:hint="eastAsia"/>
          <w:color w:val="auto"/>
          <w:lang w:val="en-US" w:eastAsia="zh-CN"/>
        </w:rPr>
      </w:pPr>
      <w:r>
        <w:rPr>
          <w:rFonts w:hint="eastAsia"/>
          <w:color w:val="auto"/>
          <w:lang w:val="en-US" w:eastAsia="zh-CN"/>
        </w:rPr>
        <w:t>一、规划范围和规划期限</w:t>
      </w:r>
    </w:p>
    <w:p w14:paraId="147E1198">
      <w:pPr>
        <w:pStyle w:val="7"/>
        <w:bidi w:val="0"/>
        <w:rPr>
          <w:rFonts w:hint="eastAsia"/>
          <w:lang w:val="en-US" w:eastAsia="zh-CN"/>
        </w:rPr>
      </w:pPr>
      <w:r>
        <w:rPr>
          <w:rFonts w:hint="eastAsia"/>
          <w:lang w:val="en-US" w:eastAsia="zh-CN"/>
        </w:rPr>
        <w:t>1、规划范围</w:t>
      </w:r>
    </w:p>
    <w:p w14:paraId="49991908">
      <w:pPr>
        <w:bidi w:val="0"/>
        <w:rPr>
          <w:rFonts w:hint="eastAsia"/>
          <w:color w:val="auto"/>
        </w:rPr>
      </w:pPr>
      <w:r>
        <w:rPr>
          <w:rFonts w:hint="eastAsia"/>
          <w:color w:val="auto"/>
          <w:lang w:eastAsia="zh"/>
        </w:rPr>
        <w:t>衔接</w:t>
      </w:r>
      <w:r>
        <w:rPr>
          <w:rFonts w:hint="eastAsia"/>
          <w:color w:val="auto"/>
        </w:rPr>
        <w:t>景德镇市中心城区范围</w:t>
      </w:r>
      <w:r>
        <w:rPr>
          <w:rFonts w:hint="eastAsia"/>
          <w:color w:val="auto"/>
          <w:lang w:eastAsia="zh"/>
        </w:rPr>
        <w:t>（</w:t>
      </w:r>
      <w:r>
        <w:rPr>
          <w:rFonts w:hint="eastAsia"/>
          <w:color w:val="auto"/>
        </w:rPr>
        <w:t>包含珠山区、</w:t>
      </w:r>
      <w:r>
        <w:rPr>
          <w:rFonts w:hint="eastAsia"/>
          <w:color w:val="auto"/>
          <w:lang w:val="en-US" w:eastAsia="zh-CN"/>
        </w:rPr>
        <w:t>昌江区</w:t>
      </w:r>
      <w:r>
        <w:rPr>
          <w:rFonts w:hint="eastAsia"/>
          <w:color w:val="auto"/>
        </w:rPr>
        <w:t>、</w:t>
      </w:r>
      <w:r>
        <w:rPr>
          <w:rFonts w:hint="eastAsia"/>
          <w:color w:val="auto"/>
          <w:lang w:eastAsia="zh"/>
        </w:rPr>
        <w:t>高新区、</w:t>
      </w:r>
      <w:r>
        <w:rPr>
          <w:rFonts w:hint="eastAsia"/>
          <w:color w:val="auto"/>
          <w:lang w:val="en-US" w:eastAsia="zh-CN"/>
        </w:rPr>
        <w:t>昌南</w:t>
      </w:r>
      <w:r>
        <w:rPr>
          <w:rFonts w:hint="eastAsia"/>
          <w:color w:val="auto"/>
        </w:rPr>
        <w:t>新区</w:t>
      </w:r>
      <w:r>
        <w:rPr>
          <w:rFonts w:hint="eastAsia"/>
          <w:color w:val="auto"/>
          <w:lang w:eastAsia="zh"/>
        </w:rPr>
        <w:t>）</w:t>
      </w:r>
      <w:r>
        <w:rPr>
          <w:rFonts w:hint="eastAsia"/>
          <w:color w:val="auto"/>
        </w:rPr>
        <w:t>，东侧至</w:t>
      </w:r>
      <w:r>
        <w:rPr>
          <w:rFonts w:hint="eastAsia"/>
          <w:color w:val="auto"/>
          <w:lang w:eastAsia="zh"/>
        </w:rPr>
        <w:t>昌江大道、</w:t>
      </w:r>
      <w:r>
        <w:rPr>
          <w:rFonts w:hint="eastAsia"/>
          <w:color w:val="auto"/>
        </w:rPr>
        <w:t>浮梁县行政边界，北侧至</w:t>
      </w:r>
      <w:r>
        <w:rPr>
          <w:rFonts w:hint="eastAsia"/>
          <w:color w:val="auto"/>
          <w:lang w:eastAsia="zh"/>
        </w:rPr>
        <w:t>汉索夫陶瓷、</w:t>
      </w:r>
      <w:r>
        <w:rPr>
          <w:rFonts w:hint="eastAsia"/>
          <w:color w:val="auto"/>
        </w:rPr>
        <w:t>昌南新区管辖范围，西侧至</w:t>
      </w:r>
      <w:r>
        <w:rPr>
          <w:rFonts w:hint="eastAsia"/>
          <w:color w:val="auto"/>
          <w:lang w:eastAsia="zh"/>
        </w:rPr>
        <w:t>鱼山医药产业园区、</w:t>
      </w:r>
      <w:r>
        <w:rPr>
          <w:rFonts w:hint="eastAsia"/>
          <w:color w:val="auto"/>
          <w:lang w:val="en-US" w:eastAsia="zh-CN"/>
        </w:rPr>
        <w:t>鲇鱼山镇</w:t>
      </w:r>
      <w:r>
        <w:rPr>
          <w:rFonts w:hint="eastAsia"/>
          <w:color w:val="auto"/>
        </w:rPr>
        <w:t>城镇开发边界范围，南侧至</w:t>
      </w:r>
      <w:r>
        <w:rPr>
          <w:rFonts w:hint="eastAsia"/>
          <w:color w:val="auto"/>
          <w:lang w:eastAsia="zh"/>
        </w:rPr>
        <w:t>三宝、</w:t>
      </w:r>
      <w:r>
        <w:rPr>
          <w:rFonts w:hint="eastAsia"/>
          <w:color w:val="auto"/>
          <w:lang w:val="en-US" w:eastAsia="zh-CN"/>
        </w:rPr>
        <w:t>昌江</w:t>
      </w:r>
      <w:r>
        <w:rPr>
          <w:rFonts w:hint="eastAsia"/>
          <w:color w:val="auto"/>
        </w:rPr>
        <w:t>区城镇开发边界，总面积177.83平方千米。</w:t>
      </w:r>
    </w:p>
    <w:p w14:paraId="7F01DB2A">
      <w:pPr>
        <w:pStyle w:val="24"/>
        <w:bidi w:val="0"/>
        <w:rPr>
          <w:rFonts w:hint="eastAsia"/>
          <w:color w:val="FF0000"/>
          <w:lang w:eastAsia="zh-CN"/>
        </w:rPr>
      </w:pPr>
      <w:r>
        <w:rPr>
          <w:rFonts w:hint="eastAsia"/>
          <w:color w:val="FF0000"/>
          <w:lang w:eastAsia="zh-CN"/>
        </w:rPr>
        <w:drawing>
          <wp:inline distT="0" distB="0" distL="114300" distR="114300">
            <wp:extent cx="4274185" cy="3398520"/>
            <wp:effectExtent l="0" t="0" r="12065" b="1143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4274185" cy="3398520"/>
                    </a:xfrm>
                    <a:prstGeom prst="rect">
                      <a:avLst/>
                    </a:prstGeom>
                  </pic:spPr>
                </pic:pic>
              </a:graphicData>
            </a:graphic>
          </wp:inline>
        </w:drawing>
      </w:r>
    </w:p>
    <w:p w14:paraId="149EFF02">
      <w:pPr>
        <w:pStyle w:val="34"/>
        <w:bidi w:val="0"/>
        <w:rPr>
          <w:rFonts w:hint="default"/>
          <w:color w:val="auto"/>
          <w:lang w:val="en-US" w:eastAsia="zh-CN"/>
        </w:rPr>
      </w:pPr>
      <w:r>
        <w:rPr>
          <w:rFonts w:hint="eastAsia"/>
          <w:color w:val="auto"/>
          <w:lang w:val="en-US" w:eastAsia="zh-CN"/>
        </w:rPr>
        <w:t>规划范围图</w:t>
      </w:r>
    </w:p>
    <w:p w14:paraId="672F07DC">
      <w:pPr>
        <w:pStyle w:val="7"/>
        <w:bidi w:val="0"/>
        <w:rPr>
          <w:rFonts w:hint="default"/>
          <w:lang w:val="en-US" w:eastAsia="zh-CN"/>
        </w:rPr>
      </w:pPr>
      <w:r>
        <w:rPr>
          <w:rFonts w:hint="eastAsia"/>
          <w:lang w:val="en-US" w:eastAsia="zh-CN"/>
        </w:rPr>
        <w:t>2、规划期限</w:t>
      </w:r>
    </w:p>
    <w:p w14:paraId="7BBEE30D">
      <w:pPr>
        <w:bidi w:val="0"/>
        <w:rPr>
          <w:color w:val="auto"/>
        </w:rPr>
      </w:pPr>
      <w:r>
        <w:rPr>
          <w:rFonts w:hint="eastAsia"/>
          <w:color w:val="auto"/>
          <w:lang w:eastAsia="zh"/>
        </w:rPr>
        <w:t>规划年限为 202</w:t>
      </w:r>
      <w:r>
        <w:rPr>
          <w:rFonts w:hint="eastAsia"/>
          <w:color w:val="auto"/>
          <w:lang w:val="en-US" w:eastAsia="zh-CN"/>
        </w:rPr>
        <w:t>5</w:t>
      </w:r>
      <w:r>
        <w:rPr>
          <w:rFonts w:hint="eastAsia"/>
          <w:color w:val="auto"/>
          <w:lang w:eastAsia="zh"/>
        </w:rPr>
        <w:t>-2035年。近期规划年限为202</w:t>
      </w:r>
      <w:r>
        <w:rPr>
          <w:rFonts w:hint="eastAsia"/>
          <w:color w:val="auto"/>
          <w:lang w:val="en-US" w:eastAsia="zh-CN"/>
        </w:rPr>
        <w:t>5</w:t>
      </w:r>
      <w:r>
        <w:rPr>
          <w:rFonts w:hint="eastAsia"/>
          <w:color w:val="auto"/>
          <w:lang w:eastAsia="zh"/>
        </w:rPr>
        <w:t>-2030年。远期规划年限为 2031-2035年。规划基准年为202</w:t>
      </w:r>
      <w:r>
        <w:rPr>
          <w:rFonts w:hint="eastAsia"/>
          <w:color w:val="auto"/>
          <w:lang w:val="en-US" w:eastAsia="zh-CN"/>
        </w:rPr>
        <w:t>4</w:t>
      </w:r>
      <w:r>
        <w:rPr>
          <w:rFonts w:hint="eastAsia"/>
          <w:color w:val="auto"/>
          <w:lang w:eastAsia="zh"/>
        </w:rPr>
        <w:t>年</w:t>
      </w:r>
      <w:r>
        <w:rPr>
          <w:color w:val="auto"/>
        </w:rPr>
        <w:t>。</w:t>
      </w:r>
    </w:p>
    <w:p w14:paraId="4E03C859">
      <w:pPr>
        <w:pStyle w:val="6"/>
        <w:bidi w:val="0"/>
        <w:rPr>
          <w:rFonts w:hint="eastAsia" w:eastAsia="等线 Light"/>
          <w:color w:val="auto"/>
          <w:lang w:val="en-US" w:eastAsia="zh-CN"/>
        </w:rPr>
      </w:pPr>
      <w:bookmarkStart w:id="0" w:name="_Toc18491"/>
      <w:r>
        <w:rPr>
          <w:rFonts w:hint="eastAsia"/>
          <w:color w:val="auto"/>
          <w:lang w:val="en-US" w:eastAsia="zh-CN"/>
        </w:rPr>
        <w:t>二、规划目标策略</w:t>
      </w:r>
    </w:p>
    <w:p w14:paraId="3B8F1E4A">
      <w:pPr>
        <w:pStyle w:val="7"/>
        <w:bidi w:val="0"/>
        <w:rPr>
          <w:rFonts w:hint="eastAsia"/>
          <w:color w:val="auto"/>
          <w:lang w:val="en-US" w:eastAsia="zh-CN"/>
        </w:rPr>
      </w:pPr>
      <w:r>
        <w:rPr>
          <w:rFonts w:hint="eastAsia"/>
          <w:color w:val="auto"/>
          <w:lang w:val="en-US" w:eastAsia="zh-CN"/>
        </w:rPr>
        <w:t>1、规划目标</w:t>
      </w:r>
      <w:bookmarkEnd w:id="0"/>
    </w:p>
    <w:p w14:paraId="39278EA4">
      <w:pPr>
        <w:bidi w:val="0"/>
        <w:rPr>
          <w:rFonts w:hint="eastAsia"/>
          <w:color w:val="auto"/>
          <w:lang w:eastAsia="zh"/>
        </w:rPr>
      </w:pPr>
      <w:bookmarkStart w:id="1" w:name="_Toc26247"/>
      <w:r>
        <w:rPr>
          <w:rFonts w:hint="eastAsia"/>
          <w:color w:val="auto"/>
          <w:lang w:eastAsia="zh"/>
        </w:rPr>
        <w:t>目标</w:t>
      </w:r>
      <w:r>
        <w:rPr>
          <w:rFonts w:hint="eastAsia"/>
          <w:color w:val="auto"/>
          <w:lang w:val="en-US" w:eastAsia="zh-CN"/>
        </w:rPr>
        <w:t>1</w:t>
      </w:r>
      <w:r>
        <w:rPr>
          <w:rFonts w:hint="eastAsia"/>
          <w:color w:val="auto"/>
          <w:lang w:eastAsia="zh"/>
        </w:rPr>
        <w:t>：为加强城市户外广告设施管理，规范户外广告设施设置提供规划依据。</w:t>
      </w:r>
    </w:p>
    <w:p w14:paraId="04FDD837">
      <w:pPr>
        <w:bidi w:val="0"/>
        <w:rPr>
          <w:rFonts w:hint="eastAsia"/>
          <w:color w:val="auto"/>
          <w:lang w:eastAsia="zh"/>
        </w:rPr>
      </w:pPr>
      <w:r>
        <w:rPr>
          <w:rFonts w:hint="eastAsia"/>
          <w:color w:val="auto"/>
          <w:lang w:eastAsia="zh"/>
        </w:rPr>
        <w:t>目标</w:t>
      </w:r>
      <w:r>
        <w:rPr>
          <w:rFonts w:hint="eastAsia"/>
          <w:color w:val="auto"/>
          <w:lang w:val="en-US" w:eastAsia="zh-CN"/>
        </w:rPr>
        <w:t>2</w:t>
      </w:r>
      <w:r>
        <w:rPr>
          <w:rFonts w:hint="eastAsia"/>
          <w:color w:val="auto"/>
          <w:lang w:eastAsia="zh"/>
        </w:rPr>
        <w:t xml:space="preserve">：为促进户外广告设施与城市市容景观及经济社会协同发展，展示城市文化，提升城市品质，塑造良好城市形象提供支撑。 </w:t>
      </w:r>
    </w:p>
    <w:p w14:paraId="43A09528">
      <w:pPr>
        <w:bidi w:val="0"/>
        <w:rPr>
          <w:rFonts w:hint="eastAsia"/>
          <w:color w:val="auto"/>
          <w:lang w:eastAsia="zh"/>
        </w:rPr>
      </w:pPr>
      <w:r>
        <w:rPr>
          <w:rFonts w:hint="eastAsia"/>
          <w:color w:val="auto"/>
          <w:lang w:eastAsia="zh"/>
        </w:rPr>
        <w:t>目标</w:t>
      </w:r>
      <w:r>
        <w:rPr>
          <w:rFonts w:hint="eastAsia"/>
          <w:color w:val="auto"/>
          <w:lang w:val="en-US" w:eastAsia="zh-CN"/>
        </w:rPr>
        <w:t>3</w:t>
      </w:r>
      <w:r>
        <w:rPr>
          <w:rFonts w:hint="eastAsia"/>
          <w:color w:val="auto"/>
          <w:lang w:eastAsia="zh"/>
        </w:rPr>
        <w:t>：为科学合理地利用城市空间资源，创造活跃繁荣的城市商业氛围，凸显城市活力提供支撑。</w:t>
      </w:r>
    </w:p>
    <w:p w14:paraId="2E2FB0FB">
      <w:pPr>
        <w:pStyle w:val="7"/>
        <w:bidi w:val="0"/>
        <w:rPr>
          <w:rFonts w:hint="eastAsia"/>
          <w:color w:val="auto"/>
          <w:lang w:val="en-US" w:eastAsia="zh-CN"/>
        </w:rPr>
      </w:pPr>
      <w:r>
        <w:rPr>
          <w:rFonts w:hint="eastAsia"/>
          <w:color w:val="auto"/>
          <w:lang w:val="en-US" w:eastAsia="zh-CN"/>
        </w:rPr>
        <w:t>2、规划</w:t>
      </w:r>
      <w:bookmarkEnd w:id="1"/>
      <w:r>
        <w:rPr>
          <w:rFonts w:hint="eastAsia"/>
          <w:color w:val="auto"/>
          <w:lang w:val="en-US" w:eastAsia="zh-CN"/>
        </w:rPr>
        <w:t>策略</w:t>
      </w:r>
    </w:p>
    <w:p w14:paraId="509DCCA8">
      <w:pPr>
        <w:bidi w:val="0"/>
        <w:rPr>
          <w:rFonts w:hint="eastAsia"/>
          <w:b/>
          <w:bCs/>
          <w:color w:val="auto"/>
          <w:lang w:val="en-US" w:eastAsia="zh-CN"/>
        </w:rPr>
      </w:pPr>
      <w:bookmarkStart w:id="2" w:name="bookmark15"/>
      <w:bookmarkEnd w:id="2"/>
      <w:bookmarkStart w:id="3" w:name="bookmark23"/>
      <w:bookmarkEnd w:id="3"/>
      <w:r>
        <w:rPr>
          <w:rFonts w:hint="eastAsia"/>
          <w:b/>
          <w:bCs/>
          <w:color w:val="auto"/>
          <w:lang w:val="en-US" w:eastAsia="zh-CN"/>
        </w:rPr>
        <w:t>总体定位：瓷韵、和谐、活力、创意</w:t>
      </w:r>
    </w:p>
    <w:p w14:paraId="2ABE6BC0">
      <w:pPr>
        <w:bidi w:val="0"/>
        <w:rPr>
          <w:rFonts w:hint="eastAsia"/>
          <w:color w:val="auto"/>
          <w:lang w:val="en-US" w:eastAsia="zh-CN"/>
        </w:rPr>
      </w:pPr>
      <w:r>
        <w:rPr>
          <w:rFonts w:hint="eastAsia"/>
          <w:b/>
          <w:bCs/>
          <w:color w:val="auto"/>
          <w:lang w:val="en-US" w:eastAsia="zh-CN"/>
        </w:rPr>
        <w:t>瓷韵---</w:t>
      </w:r>
      <w:r>
        <w:rPr>
          <w:rFonts w:hint="eastAsia"/>
          <w:color w:val="auto"/>
          <w:lang w:val="en-US" w:eastAsia="zh-CN"/>
        </w:rPr>
        <w:t xml:space="preserve">依托历史文化名城，户外广告设施设置应体现城市深厚陶瓷文化韵味、凸显城市独特文化品位，展示城市特色文化景观。 </w:t>
      </w:r>
    </w:p>
    <w:p w14:paraId="39586470">
      <w:pPr>
        <w:bidi w:val="0"/>
        <w:rPr>
          <w:rFonts w:hint="eastAsia"/>
          <w:color w:val="auto"/>
          <w:lang w:val="en-US" w:eastAsia="zh-CN"/>
        </w:rPr>
      </w:pPr>
      <w:r>
        <w:rPr>
          <w:rFonts w:hint="eastAsia"/>
          <w:b/>
          <w:bCs/>
          <w:color w:val="auto"/>
          <w:lang w:val="en-US" w:eastAsia="zh-CN"/>
        </w:rPr>
        <w:t>和谐---</w:t>
      </w:r>
      <w:r>
        <w:rPr>
          <w:rFonts w:hint="eastAsia"/>
          <w:color w:val="auto"/>
          <w:lang w:val="en-US" w:eastAsia="zh-CN"/>
        </w:rPr>
        <w:t xml:space="preserve">作为城市第二轮廓线和景观系统的重要构成部分，应与所处城市空间环境相协调，真正成为城市景观的组成部分。为山水旅游花园城、时尚宜居生态城的建设创 造更好的视觉环境。 </w:t>
      </w:r>
    </w:p>
    <w:p w14:paraId="014F0CAD">
      <w:pPr>
        <w:bidi w:val="0"/>
        <w:rPr>
          <w:rFonts w:hint="eastAsia"/>
          <w:color w:val="auto"/>
          <w:lang w:val="en-US" w:eastAsia="zh-CN"/>
        </w:rPr>
      </w:pPr>
      <w:r>
        <w:rPr>
          <w:rFonts w:hint="eastAsia"/>
          <w:b/>
          <w:bCs/>
          <w:color w:val="auto"/>
          <w:lang w:val="en-US" w:eastAsia="zh-CN"/>
        </w:rPr>
        <w:t>活力---</w:t>
      </w:r>
      <w:r>
        <w:rPr>
          <w:rFonts w:hint="eastAsia"/>
          <w:color w:val="auto"/>
          <w:lang w:val="en-US" w:eastAsia="zh-CN"/>
        </w:rPr>
        <w:t xml:space="preserve">根据“特殊消费中心城市”的发展定位，户外广告和招牌设施的设置应注重融入商业场所、激发商业活力、创造商业氛围，体现城市发展的活力。 </w:t>
      </w:r>
    </w:p>
    <w:p w14:paraId="367F08E0">
      <w:pPr>
        <w:bidi w:val="0"/>
        <w:rPr>
          <w:rFonts w:hint="eastAsia"/>
          <w:color w:val="auto"/>
          <w:lang w:val="en-US" w:eastAsia="zh-CN"/>
        </w:rPr>
      </w:pPr>
      <w:r>
        <w:rPr>
          <w:rFonts w:hint="eastAsia"/>
          <w:b/>
          <w:bCs/>
          <w:color w:val="auto"/>
          <w:lang w:val="en-US" w:eastAsia="zh-CN"/>
        </w:rPr>
        <w:t>创意---</w:t>
      </w:r>
      <w:r>
        <w:rPr>
          <w:rFonts w:hint="eastAsia"/>
          <w:color w:val="auto"/>
          <w:lang w:val="en-US" w:eastAsia="zh-CN"/>
        </w:rPr>
        <w:t>结合时代发展，户外广告和招牌设施的设置应注重艺术性和时尚性，突出城市品位，展现城市创新能力与艺术性。</w:t>
      </w:r>
    </w:p>
    <w:p w14:paraId="798574FB">
      <w:pPr>
        <w:pStyle w:val="6"/>
        <w:bidi w:val="0"/>
        <w:rPr>
          <w:rFonts w:hint="default"/>
          <w:color w:val="auto"/>
          <w:lang w:val="en-US" w:eastAsia="zh-CN"/>
        </w:rPr>
      </w:pPr>
      <w:r>
        <w:rPr>
          <w:rFonts w:hint="eastAsia"/>
          <w:color w:val="auto"/>
          <w:lang w:val="en-US" w:eastAsia="zh-CN"/>
        </w:rPr>
        <w:t>三、规划分区</w:t>
      </w:r>
    </w:p>
    <w:p w14:paraId="3B471F11">
      <w:pPr>
        <w:bidi w:val="0"/>
        <w:rPr>
          <w:rFonts w:hint="eastAsia"/>
          <w:color w:val="auto"/>
          <w:lang w:val="en-US" w:eastAsia="zh-CN"/>
        </w:rPr>
      </w:pPr>
      <w:r>
        <w:rPr>
          <w:rFonts w:hint="eastAsia"/>
          <w:color w:val="auto"/>
          <w:lang w:val="en-US" w:eastAsia="zh-CN"/>
        </w:rPr>
        <w:t>本次规划按照适宜区、限建区、禁设区及特殊管控区“3+1”的方式进行分区划定，并明确各分区户外广告设施设置要求。</w:t>
      </w:r>
    </w:p>
    <w:p w14:paraId="7E809FEA">
      <w:pPr>
        <w:bidi w:val="0"/>
        <w:rPr>
          <w:rFonts w:hint="eastAsia"/>
          <w:color w:val="auto"/>
          <w:lang w:val="en-US" w:eastAsia="zh-CN"/>
        </w:rPr>
      </w:pPr>
      <w:r>
        <w:rPr>
          <w:rFonts w:hint="eastAsia"/>
          <w:b/>
          <w:bCs/>
          <w:color w:val="auto"/>
          <w:lang w:val="en-US" w:eastAsia="zh-CN"/>
        </w:rPr>
        <w:t>适宜区——</w:t>
      </w:r>
      <w:r>
        <w:rPr>
          <w:rFonts w:hint="eastAsia"/>
          <w:color w:val="auto"/>
          <w:lang w:val="en-US" w:eastAsia="zh-CN"/>
        </w:rPr>
        <w:t>为服务城市商业、促进经济发展、提升城区活力，允许适量集中、多样化设置户外广告设施的区域。包括一类适宜区（市级商业商务中心区）、二类适宜区（区级、片区级商业集聚区，市级、区级专业市场、街道、社区级商业集中地段）。</w:t>
      </w:r>
    </w:p>
    <w:p w14:paraId="2CED27B1">
      <w:pPr>
        <w:bidi w:val="0"/>
        <w:rPr>
          <w:rFonts w:hint="eastAsia"/>
          <w:lang w:val="en-US" w:eastAsia="zh-CN"/>
        </w:rPr>
      </w:pPr>
      <w:r>
        <w:rPr>
          <w:rFonts w:hint="eastAsia"/>
          <w:lang w:val="en-US" w:eastAsia="zh-CN"/>
        </w:rPr>
        <w:t>一类适宜区包括老城区商业中心（金鼎商贸圈、珠山中路商业街、浙江路休闲片）、高铁商业中心（综合商业服务片、商务配套商业片）、昌南拓展区商业中心（宝龙商业综合服务圈）等。</w:t>
      </w:r>
    </w:p>
    <w:p w14:paraId="180CD0D1">
      <w:pPr>
        <w:bidi w:val="0"/>
        <w:rPr>
          <w:rFonts w:hint="eastAsia"/>
          <w:lang w:val="en-US" w:eastAsia="zh-CN"/>
        </w:rPr>
      </w:pPr>
      <w:r>
        <w:rPr>
          <w:rFonts w:hint="eastAsia"/>
          <w:lang w:val="en-US" w:eastAsia="zh-CN"/>
        </w:rPr>
        <w:t>二类适宜区包括豪德广场、中国陶瓷城、国大汽车城、新都民营陶瓷园、曙光路大市场、里村商圈、青塘电厂特色街区、九集小镇等。</w:t>
      </w:r>
    </w:p>
    <w:p w14:paraId="3E5EA9EB">
      <w:pPr>
        <w:bidi w:val="0"/>
        <w:rPr>
          <w:rFonts w:hint="eastAsia"/>
          <w:lang w:val="en-US" w:eastAsia="zh-CN"/>
        </w:rPr>
      </w:pPr>
      <w:r>
        <w:rPr>
          <w:rFonts w:hint="eastAsia"/>
          <w:b/>
          <w:bCs/>
          <w:lang w:val="en-US" w:eastAsia="zh-CN"/>
        </w:rPr>
        <w:t>限建区</w:t>
      </w:r>
      <w:r>
        <w:rPr>
          <w:rFonts w:hint="eastAsia"/>
          <w:lang w:val="en-US" w:eastAsia="zh-CN"/>
        </w:rPr>
        <w:t>——为保护多元城市风貌与建筑空间特色，满足城市形象展示及一般地区商业宣传和活力营造需求，允许少量设置户外广告设施的区域。</w:t>
      </w:r>
    </w:p>
    <w:p w14:paraId="590D1C9C">
      <w:pPr>
        <w:bidi w:val="0"/>
        <w:rPr>
          <w:rFonts w:hint="eastAsia"/>
          <w:lang w:val="en-US" w:eastAsia="zh-CN"/>
        </w:rPr>
      </w:pPr>
      <w:r>
        <w:rPr>
          <w:rFonts w:hint="eastAsia"/>
          <w:lang w:val="en-US" w:eastAsia="zh-CN"/>
        </w:rPr>
        <w:t>包括城市居住区、行政区、医疗、文化、教育、体育区，历史文化街区、工业物流区等区域。</w:t>
      </w:r>
    </w:p>
    <w:p w14:paraId="3E43BAC9">
      <w:pPr>
        <w:bidi w:val="0"/>
        <w:rPr>
          <w:rFonts w:hint="eastAsia"/>
          <w:lang w:val="en-US" w:eastAsia="zh-CN"/>
        </w:rPr>
      </w:pPr>
      <w:r>
        <w:rPr>
          <w:rFonts w:hint="eastAsia"/>
          <w:b/>
          <w:bCs/>
          <w:lang w:val="en-US" w:eastAsia="zh-CN"/>
        </w:rPr>
        <w:t>禁设区</w:t>
      </w:r>
      <w:r>
        <w:rPr>
          <w:rFonts w:hint="eastAsia"/>
          <w:lang w:val="en-US" w:eastAsia="zh-CN"/>
        </w:rPr>
        <w:t>——为保护城市特色景观、生态环境及山水形象，禁止设置商业户外广告设施的区域。</w:t>
      </w:r>
    </w:p>
    <w:p w14:paraId="13FF46E8">
      <w:pPr>
        <w:bidi w:val="0"/>
        <w:rPr>
          <w:rFonts w:hint="eastAsia"/>
          <w:lang w:val="en-US" w:eastAsia="zh-CN"/>
        </w:rPr>
      </w:pPr>
      <w:r>
        <w:rPr>
          <w:rFonts w:hint="eastAsia"/>
          <w:lang w:val="en-US" w:eastAsia="zh-CN"/>
        </w:rPr>
        <w:t>主要保留景德镇市中心城区39座保护山体，水系及沿铁路河流两侧防护绿地、中心城区外围自然山体。</w:t>
      </w:r>
    </w:p>
    <w:p w14:paraId="4636EBA6">
      <w:pPr>
        <w:bidi w:val="0"/>
        <w:rPr>
          <w:rFonts w:hint="eastAsia"/>
          <w:lang w:val="en-US" w:eastAsia="zh-CN"/>
        </w:rPr>
      </w:pPr>
      <w:r>
        <w:rPr>
          <w:rFonts w:hint="eastAsia"/>
          <w:b/>
          <w:bCs/>
          <w:lang w:val="en-US" w:eastAsia="zh-CN"/>
        </w:rPr>
        <w:t>特殊管控区</w:t>
      </w:r>
      <w:r>
        <w:rPr>
          <w:rFonts w:hint="eastAsia"/>
          <w:lang w:val="en-US" w:eastAsia="zh-CN"/>
        </w:rPr>
        <w:t>——作为城市门户窗口，与城市主要对外交通枢纽、城市主要出入口及城市大型公共建筑相衔接的城市重要交通干道，是国内外宾客进出城市的门户节点和主要通道，是城市形象塑造展示的重要区域。</w:t>
      </w:r>
    </w:p>
    <w:p w14:paraId="76AA32BA">
      <w:pPr>
        <w:bidi w:val="0"/>
        <w:rPr>
          <w:rFonts w:hint="eastAsia"/>
          <w:lang w:val="en-US" w:eastAsia="zh-CN"/>
        </w:rPr>
      </w:pPr>
      <w:r>
        <w:rPr>
          <w:rFonts w:hint="eastAsia"/>
          <w:lang w:val="en-US" w:eastAsia="zh-CN"/>
        </w:rPr>
        <w:t>主要选择能集中体现景德镇城市特色风貌及城市形象的区域，纳入城市“特殊管控区”管控范围，包括城市迎宾形象路段及门户展示区，重要地段（陶溪川、陶源谷、陶阳里、陶博城、陶科城）、历史文化街区、昌南里、陶瓷博物馆、雕塑瓷厂、机场、高铁北站及四大高速收费站等。</w:t>
      </w:r>
    </w:p>
    <w:p w14:paraId="75FC8B19">
      <w:pPr>
        <w:pStyle w:val="24"/>
        <w:bidi w:val="0"/>
        <w:rPr>
          <w:rFonts w:hint="eastAsia"/>
          <w:lang w:val="en-US" w:eastAsia="zh-CN"/>
        </w:rPr>
      </w:pPr>
      <w:r>
        <w:drawing>
          <wp:inline distT="0" distB="0" distL="114935" distR="114935">
            <wp:extent cx="4273550" cy="4109085"/>
            <wp:effectExtent l="0" t="0" r="1270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4273550" cy="4109085"/>
                    </a:xfrm>
                    <a:prstGeom prst="rect">
                      <a:avLst/>
                    </a:prstGeom>
                    <a:noFill/>
                    <a:ln>
                      <a:noFill/>
                    </a:ln>
                  </pic:spPr>
                </pic:pic>
              </a:graphicData>
            </a:graphic>
          </wp:inline>
        </w:drawing>
      </w:r>
    </w:p>
    <w:p w14:paraId="08A3E13A">
      <w:pPr>
        <w:pStyle w:val="6"/>
        <w:bidi w:val="0"/>
        <w:rPr>
          <w:rFonts w:hint="eastAsia"/>
          <w:color w:val="auto"/>
          <w:lang w:val="en-US" w:eastAsia="zh-CN"/>
        </w:rPr>
      </w:pPr>
      <w:r>
        <w:rPr>
          <w:rFonts w:hint="eastAsia"/>
          <w:color w:val="auto"/>
          <w:lang w:val="en-US" w:eastAsia="zh-CN"/>
        </w:rPr>
        <w:t>四、分区管控</w:t>
      </w:r>
      <w:bookmarkStart w:id="4" w:name="_Toc2165"/>
      <w:bookmarkStart w:id="5" w:name="_Toc26194"/>
      <w:r>
        <w:rPr>
          <w:rFonts w:hint="eastAsia"/>
          <w:color w:val="auto"/>
          <w:lang w:val="en-US" w:eastAsia="zh-CN"/>
        </w:rPr>
        <w:t>规划</w:t>
      </w:r>
    </w:p>
    <w:bookmarkEnd w:id="4"/>
    <w:p w14:paraId="63EE1719">
      <w:pPr>
        <w:bidi w:val="0"/>
        <w:rPr>
          <w:rFonts w:hint="eastAsia"/>
          <w:b/>
          <w:bCs/>
          <w:color w:val="auto"/>
          <w:lang w:val="en-US" w:eastAsia="zh-CN"/>
        </w:rPr>
      </w:pPr>
      <w:r>
        <w:rPr>
          <w:rFonts w:hint="eastAsia"/>
          <w:b/>
          <w:bCs/>
          <w:color w:val="auto"/>
          <w:lang w:val="en-US" w:eastAsia="zh-CN"/>
        </w:rPr>
        <w:t>1、适宜区管控规划</w:t>
      </w:r>
    </w:p>
    <w:p w14:paraId="2FB6CA07">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（1）</w:t>
      </w:r>
      <w:r>
        <w:rPr>
          <w:rFonts w:hint="eastAsia" w:ascii="Times New Roman" w:hAnsi="Times New Roman" w:eastAsia="仿宋_GB2312" w:cs="Times New Roman"/>
          <w:kern w:val="2"/>
          <w:sz w:val="30"/>
          <w:szCs w:val="22"/>
          <w:lang w:val="en-US" w:eastAsia="zh-CN" w:bidi="ar-SA"/>
        </w:rPr>
        <w:t>总体形象：对标国内著名商业街区，引导户外广告设施适量集中、多样化设置。打造特征鲜明、活力繁荣的商业街区形象。</w:t>
      </w:r>
    </w:p>
    <w:p w14:paraId="46FBF885">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（2）</w:t>
      </w:r>
      <w:r>
        <w:rPr>
          <w:rFonts w:hint="eastAsia" w:ascii="Times New Roman" w:hAnsi="Times New Roman" w:eastAsia="仿宋_GB2312" w:cs="Times New Roman"/>
          <w:kern w:val="2"/>
          <w:sz w:val="30"/>
          <w:szCs w:val="22"/>
          <w:lang w:val="en-US" w:eastAsia="zh-CN" w:bidi="ar-SA"/>
        </w:rPr>
        <w:t>规划设计：应从街区整体空间环境出发，运用城市设计理念和技术手段统筹布局,加强形象设计，突出创新、创意。</w:t>
      </w:r>
    </w:p>
    <w:p w14:paraId="4321170A">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（3）</w:t>
      </w:r>
      <w:r>
        <w:rPr>
          <w:rFonts w:hint="eastAsia" w:ascii="Times New Roman" w:hAnsi="Times New Roman" w:eastAsia="仿宋_GB2312" w:cs="Times New Roman"/>
          <w:kern w:val="2"/>
          <w:sz w:val="30"/>
          <w:szCs w:val="22"/>
          <w:lang w:val="en-US" w:eastAsia="zh-CN" w:bidi="ar-SA"/>
        </w:rPr>
        <w:t>类型引导：积极引导实物造型、投影及柔性LED网格屏等新技术、新媒体户外广告类型的设置；积极运用景观化、艺术化、场景化的广告展示方式；不应设置布幅广告。</w:t>
      </w:r>
    </w:p>
    <w:p w14:paraId="4ED1494F">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（3）</w:t>
      </w:r>
      <w:r>
        <w:rPr>
          <w:rFonts w:hint="eastAsia" w:ascii="Times New Roman" w:hAnsi="Times New Roman" w:eastAsia="仿宋_GB2312" w:cs="Times New Roman"/>
          <w:kern w:val="2"/>
          <w:sz w:val="30"/>
          <w:szCs w:val="22"/>
          <w:lang w:val="en-US" w:eastAsia="zh-CN" w:bidi="ar-SA"/>
        </w:rPr>
        <w:t>内容控制：户外广告内容应提倡多样化，积极引导互动式户外广告设施或互动性广告内容的使用，以丰富市民体验，提升街区活力，营造街区商业氛围。</w:t>
      </w:r>
    </w:p>
    <w:p w14:paraId="1EF129D4">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（4）</w:t>
      </w:r>
      <w:r>
        <w:rPr>
          <w:rFonts w:hint="eastAsia" w:ascii="Times New Roman" w:hAnsi="Times New Roman" w:eastAsia="仿宋_GB2312" w:cs="Times New Roman"/>
          <w:kern w:val="2"/>
          <w:sz w:val="30"/>
          <w:szCs w:val="22"/>
          <w:lang w:val="en-US" w:eastAsia="zh-CN" w:bidi="ar-SA"/>
        </w:rPr>
        <w:t>位置选择：可利用区域内的商业综合体、步行商业街、大型商业广场、专业市场等商业集中地段进行适度集中设置。</w:t>
      </w:r>
    </w:p>
    <w:p w14:paraId="2269793C">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（5）</w:t>
      </w:r>
      <w:r>
        <w:rPr>
          <w:rFonts w:hint="eastAsia" w:ascii="Times New Roman" w:hAnsi="Times New Roman" w:eastAsia="仿宋_GB2312" w:cs="Times New Roman"/>
          <w:kern w:val="2"/>
          <w:sz w:val="30"/>
          <w:szCs w:val="22"/>
          <w:lang w:val="en-US" w:eastAsia="zh-CN" w:bidi="ar-SA"/>
        </w:rPr>
        <w:t>照明设计：区域内的户外广告设施应进行日间和夜间的形象专项设计，积极引导多形式照明的设置。</w:t>
      </w:r>
    </w:p>
    <w:p w14:paraId="64059E76">
      <w:pPr>
        <w:bidi w:val="0"/>
        <w:rPr>
          <w:rFonts w:hint="eastAsia" w:ascii="Times New Roman" w:hAnsi="Times New Roman" w:eastAsia="仿宋_GB2312" w:cs="Times New Roman"/>
          <w:kern w:val="2"/>
          <w:sz w:val="30"/>
          <w:szCs w:val="22"/>
          <w:lang w:val="en-US" w:eastAsia="zh-CN" w:bidi="ar-SA"/>
        </w:rPr>
      </w:pPr>
      <w:r>
        <w:rPr>
          <w:rFonts w:hint="eastAsia" w:cs="Times New Roman"/>
          <w:kern w:val="2"/>
          <w:sz w:val="30"/>
          <w:szCs w:val="22"/>
          <w:lang w:val="en-US" w:eastAsia="zh-CN" w:bidi="ar-SA"/>
        </w:rPr>
        <w:t>（6）</w:t>
      </w:r>
      <w:r>
        <w:rPr>
          <w:rFonts w:hint="eastAsia" w:ascii="Times New Roman" w:hAnsi="Times New Roman" w:eastAsia="仿宋_GB2312" w:cs="Times New Roman"/>
          <w:kern w:val="2"/>
          <w:sz w:val="30"/>
          <w:szCs w:val="22"/>
          <w:lang w:val="en-US" w:eastAsia="zh-CN" w:bidi="ar-SA"/>
        </w:rPr>
        <w:t>色彩控制：在与区域环境相协调的基础上，为渲染城市商业氛围，可适当放宽对户外广告色彩幅度的控制。</w:t>
      </w:r>
    </w:p>
    <w:p w14:paraId="19670E31">
      <w:pPr>
        <w:bidi w:val="0"/>
        <w:rPr>
          <w:rFonts w:hint="eastAsia"/>
          <w:lang w:val="en-US" w:eastAsia="zh-CN"/>
        </w:rPr>
      </w:pPr>
      <w:r>
        <w:rPr>
          <w:rFonts w:hint="eastAsia"/>
          <w:lang w:val="en-US" w:eastAsia="zh-CN"/>
        </w:rPr>
        <w:t>（7）尺寸控制：—平行于墙面设置的户外广告设施，在建(构)筑物同一朝向墙面上的一类适宜区总面积不应大于该墙面面积的40％（投影类广告等不改变建（构）筑物立面结构与形象的户外广告设施除外）；二类适宜区不应大于该墙面面积的35%。</w:t>
      </w:r>
    </w:p>
    <w:p w14:paraId="6038033B">
      <w:pPr>
        <w:bidi w:val="0"/>
        <w:rPr>
          <w:rFonts w:hint="eastAsia"/>
          <w:b/>
          <w:bCs/>
          <w:color w:val="auto"/>
          <w:lang w:val="en-US" w:eastAsia="zh-CN"/>
        </w:rPr>
      </w:pPr>
      <w:bookmarkStart w:id="6" w:name="bookmark27"/>
      <w:bookmarkEnd w:id="6"/>
      <w:bookmarkStart w:id="7" w:name="_Toc13590"/>
      <w:r>
        <w:rPr>
          <w:rFonts w:hint="eastAsia"/>
          <w:b/>
          <w:bCs/>
          <w:color w:val="auto"/>
          <w:lang w:val="en-US" w:eastAsia="zh-CN"/>
        </w:rPr>
        <w:t>2、</w:t>
      </w:r>
      <w:bookmarkEnd w:id="7"/>
      <w:r>
        <w:rPr>
          <w:rFonts w:hint="eastAsia"/>
          <w:b/>
          <w:bCs/>
          <w:color w:val="auto"/>
          <w:lang w:val="en-US" w:eastAsia="zh-CN"/>
        </w:rPr>
        <w:t>限建区管控规划</w:t>
      </w:r>
    </w:p>
    <w:p w14:paraId="15917C5C">
      <w:pPr>
        <w:bidi w:val="0"/>
        <w:rPr>
          <w:rFonts w:hint="eastAsia"/>
          <w:lang w:val="en-US" w:eastAsia="zh-CN"/>
        </w:rPr>
      </w:pPr>
      <w:r>
        <w:rPr>
          <w:rFonts w:hint="eastAsia"/>
          <w:lang w:val="en-US" w:eastAsia="zh-CN"/>
        </w:rPr>
        <w:t>（1）总体形象:户外广告设施应遵循各功能区环境整体有序，局部适度丰富、活力的原则，突出“少而精”的设置理念，注重品质提升。</w:t>
      </w:r>
    </w:p>
    <w:p w14:paraId="6A31D347">
      <w:pPr>
        <w:bidi w:val="0"/>
        <w:rPr>
          <w:rFonts w:hint="eastAsia"/>
          <w:lang w:val="en-US" w:eastAsia="zh-CN"/>
        </w:rPr>
      </w:pPr>
      <w:r>
        <w:rPr>
          <w:rFonts w:hint="eastAsia"/>
          <w:lang w:val="en-US" w:eastAsia="zh-CN"/>
        </w:rPr>
        <w:t>（2）规划设计:在商业集中地段，可结合区段功能和空间特征统一布局户外广告设施注重设施整体品质打造和创新、创意。</w:t>
      </w:r>
    </w:p>
    <w:p w14:paraId="06FB62F1">
      <w:pPr>
        <w:bidi w:val="0"/>
        <w:rPr>
          <w:rFonts w:hint="eastAsia"/>
          <w:lang w:val="en-US" w:eastAsia="zh-CN"/>
        </w:rPr>
      </w:pPr>
      <w:r>
        <w:rPr>
          <w:rFonts w:hint="eastAsia"/>
          <w:lang w:val="en-US" w:eastAsia="zh-CN"/>
        </w:rPr>
        <w:t>（3）照明设计:户外广告设施照明应优先选用节能、环保的新光源、新灯具，不应影响居民生活、行人及交通安全。</w:t>
      </w:r>
    </w:p>
    <w:p w14:paraId="4420447A">
      <w:pPr>
        <w:bidi w:val="0"/>
        <w:rPr>
          <w:rFonts w:hint="eastAsia"/>
          <w:lang w:val="en-US" w:eastAsia="zh-CN"/>
        </w:rPr>
      </w:pPr>
      <w:r>
        <w:rPr>
          <w:rFonts w:hint="eastAsia"/>
          <w:lang w:val="en-US" w:eastAsia="zh-CN"/>
        </w:rPr>
        <w:t>（4）色彩控制:应采用与所依附载体的主色调相呼应或接近的颜色，并与周边环境相协调。</w:t>
      </w:r>
    </w:p>
    <w:p w14:paraId="44D46BF0">
      <w:pPr>
        <w:bidi w:val="0"/>
        <w:rPr>
          <w:rFonts w:hint="eastAsia"/>
          <w:lang w:val="en-US" w:eastAsia="zh-CN"/>
        </w:rPr>
      </w:pPr>
      <w:r>
        <w:rPr>
          <w:rFonts w:hint="eastAsia"/>
          <w:lang w:val="en-US" w:eastAsia="zh-CN"/>
        </w:rPr>
        <w:t>（5）类型设置要求</w:t>
      </w:r>
    </w:p>
    <w:p w14:paraId="7B00F124">
      <w:pPr>
        <w:bidi w:val="0"/>
        <w:rPr>
          <w:rFonts w:hint="eastAsia"/>
          <w:lang w:val="en-US" w:eastAsia="zh-CN"/>
        </w:rPr>
      </w:pPr>
      <w:r>
        <w:rPr>
          <w:rFonts w:hint="eastAsia"/>
          <w:lang w:val="en-US" w:eastAsia="zh-CN"/>
        </w:rPr>
        <w:t>①可结合建筑物外墙面、玻璃幕墙适量设置数字投影、全息投影广告;可设置轻钢边框(框内无支架)的喷绘类户外广告设施，不应设置布幅广告。除商业、市场集中地段内多层建筑物的玻璃幕墙和高层建筑裙楼的玻璃幕墙外，其他区域不应设置粘贴类户外广告设施。</w:t>
      </w:r>
    </w:p>
    <w:p w14:paraId="2FCECD0D">
      <w:pPr>
        <w:bidi w:val="0"/>
        <w:rPr>
          <w:rFonts w:hint="eastAsia"/>
          <w:lang w:val="en-US" w:eastAsia="zh-CN"/>
        </w:rPr>
      </w:pPr>
      <w:r>
        <w:rPr>
          <w:rFonts w:hint="eastAsia"/>
          <w:lang w:val="en-US" w:eastAsia="zh-CN"/>
        </w:rPr>
        <w:t>②可结合玻璃幕墙设置柔性LED网格屏广告，除商业、市场集中地段外，不应设置垂直于墙面的户外广告设施。</w:t>
      </w:r>
    </w:p>
    <w:p w14:paraId="323B3F3E">
      <w:pPr>
        <w:bidi w:val="0"/>
        <w:rPr>
          <w:rFonts w:hint="eastAsia"/>
          <w:lang w:val="en-US" w:eastAsia="zh-CN"/>
        </w:rPr>
      </w:pPr>
      <w:r>
        <w:rPr>
          <w:rFonts w:hint="eastAsia"/>
          <w:lang w:val="en-US" w:eastAsia="zh-CN"/>
        </w:rPr>
        <w:t>③户外广告应进行静态画面展示，画面播放的速度应缓慢和连贯，不应采用闪烁和快速切换画面的形式。</w:t>
      </w:r>
    </w:p>
    <w:p w14:paraId="0459A0E6">
      <w:pPr>
        <w:bidi w:val="0"/>
        <w:rPr>
          <w:rFonts w:hint="eastAsia"/>
          <w:lang w:val="en-US" w:eastAsia="zh-CN"/>
        </w:rPr>
      </w:pPr>
      <w:r>
        <w:rPr>
          <w:rFonts w:hint="eastAsia"/>
          <w:lang w:val="en-US" w:eastAsia="zh-CN"/>
        </w:rPr>
        <w:t>（6）位置选择要求</w:t>
      </w:r>
    </w:p>
    <w:p w14:paraId="1A0DE686">
      <w:pPr>
        <w:bidi w:val="0"/>
        <w:rPr>
          <w:rFonts w:hint="eastAsia"/>
          <w:lang w:val="en-US" w:eastAsia="zh-CN"/>
        </w:rPr>
      </w:pPr>
      <w:r>
        <w:rPr>
          <w:rFonts w:hint="eastAsia"/>
          <w:lang w:val="en-US" w:eastAsia="zh-CN"/>
        </w:rPr>
        <w:t>①平行于墙面的户外广告设施宜设置在多层建筑物外墙面和高层建筑的裙楼外墙面:在高层建筑主楼36米以下外墙面设置的户外广告设施应严格执行本规划的规定;超高层建筑主楼外墙面、高层建筑主楼36米以上外墙面不应设置户外广告设施(投影类广告等不改变建(构)筑物立面结构与形象的户外广告设施除外)。②垂直于墙面设置的户外广告设施(包括结构)上沿距离地面不应超过18米，</w:t>
      </w:r>
    </w:p>
    <w:p w14:paraId="1796AE25">
      <w:pPr>
        <w:bidi w:val="0"/>
        <w:rPr>
          <w:rFonts w:hint="eastAsia"/>
          <w:lang w:val="en-US" w:eastAsia="zh-CN"/>
        </w:rPr>
      </w:pPr>
      <w:r>
        <w:rPr>
          <w:rFonts w:hint="eastAsia"/>
          <w:lang w:val="en-US" w:eastAsia="zh-CN"/>
        </w:rPr>
        <w:t>（7）尺寸控制要求</w:t>
      </w:r>
    </w:p>
    <w:p w14:paraId="5BA02DE2">
      <w:pPr>
        <w:bidi w:val="0"/>
        <w:rPr>
          <w:rFonts w:hint="eastAsia"/>
          <w:lang w:val="en-US" w:eastAsia="zh-CN"/>
        </w:rPr>
      </w:pPr>
      <w:r>
        <w:rPr>
          <w:rFonts w:hint="eastAsia"/>
          <w:lang w:val="en-US" w:eastAsia="zh-CN"/>
        </w:rPr>
        <w:t>平行于墙面设置的户外广告设施，在建(构)筑物同一朝向墙上的户外广告设施总面积不应大于该墙面面积的30%(投影类广告等不改变建(构)筑物立面结构与形象的户外广告设施除外)。</w:t>
      </w:r>
    </w:p>
    <w:p w14:paraId="249C8BDA">
      <w:pPr>
        <w:bidi w:val="0"/>
        <w:rPr>
          <w:rFonts w:hint="eastAsia"/>
          <w:b/>
          <w:bCs/>
          <w:color w:val="auto"/>
          <w:lang w:val="en-US" w:eastAsia="zh-CN"/>
        </w:rPr>
      </w:pPr>
      <w:r>
        <w:rPr>
          <w:rFonts w:hint="eastAsia"/>
          <w:b/>
          <w:bCs/>
          <w:color w:val="auto"/>
          <w:lang w:val="en-US" w:eastAsia="zh-CN"/>
        </w:rPr>
        <w:t>3、禁设区管控规划</w:t>
      </w:r>
    </w:p>
    <w:p w14:paraId="15636891">
      <w:pPr>
        <w:bidi w:val="0"/>
        <w:rPr>
          <w:rFonts w:hint="eastAsia"/>
          <w:lang w:val="en-US" w:eastAsia="zh-CN"/>
        </w:rPr>
      </w:pPr>
      <w:r>
        <w:rPr>
          <w:rFonts w:hint="eastAsia"/>
          <w:lang w:val="en-US" w:eastAsia="zh-CN"/>
        </w:rPr>
        <w:t>（1）不应设置户外广告设施。</w:t>
      </w:r>
    </w:p>
    <w:p w14:paraId="6D106987">
      <w:pPr>
        <w:bidi w:val="0"/>
        <w:rPr>
          <w:rFonts w:hint="eastAsia"/>
          <w:lang w:val="en-US" w:eastAsia="zh-CN"/>
        </w:rPr>
      </w:pPr>
      <w:r>
        <w:rPr>
          <w:rFonts w:hint="eastAsia"/>
          <w:lang w:val="en-US" w:eastAsia="zh-CN"/>
        </w:rPr>
        <w:t>（2）确需设置公益户外广告设施的，经城市管理主管部门审批后，可结合各类公园绿地及山体进行设置，应注重整体布局，精心设计，并符合本规划的相关要求。</w:t>
      </w:r>
    </w:p>
    <w:p w14:paraId="3BD94CCE">
      <w:pPr>
        <w:bidi w:val="0"/>
        <w:rPr>
          <w:rFonts w:hint="eastAsia"/>
          <w:b/>
          <w:bCs/>
          <w:color w:val="auto"/>
          <w:lang w:val="en-US" w:eastAsia="zh-CN"/>
        </w:rPr>
      </w:pPr>
      <w:r>
        <w:rPr>
          <w:rFonts w:hint="eastAsia"/>
          <w:b/>
          <w:bCs/>
          <w:color w:val="auto"/>
          <w:lang w:val="en-US" w:eastAsia="zh-CN"/>
        </w:rPr>
        <w:t>4、特殊管控区管控引导</w:t>
      </w:r>
    </w:p>
    <w:p w14:paraId="11D15844">
      <w:pPr>
        <w:pStyle w:val="2"/>
        <w:rPr>
          <w:rFonts w:hint="eastAsia"/>
          <w:b/>
          <w:bCs/>
          <w:lang w:val="en-US" w:eastAsia="zh-CN"/>
        </w:rPr>
      </w:pPr>
      <w:r>
        <w:rPr>
          <w:rFonts w:hint="eastAsia"/>
          <w:b/>
          <w:bCs/>
          <w:lang w:val="en-US" w:eastAsia="zh-CN"/>
        </w:rPr>
        <w:t>（1）城市迎宾形象路段</w:t>
      </w:r>
    </w:p>
    <w:p w14:paraId="22125C66">
      <w:pPr>
        <w:bidi w:val="0"/>
        <w:rPr>
          <w:rFonts w:hint="eastAsia"/>
          <w:lang w:val="en-US" w:eastAsia="zh-CN"/>
        </w:rPr>
      </w:pPr>
      <w:r>
        <w:rPr>
          <w:rFonts w:hint="eastAsia"/>
          <w:lang w:val="en-US" w:eastAsia="zh-CN"/>
        </w:rPr>
        <w:t>1）总体管控要求</w:t>
      </w:r>
    </w:p>
    <w:p w14:paraId="1EA451BB">
      <w:pPr>
        <w:bidi w:val="0"/>
        <w:rPr>
          <w:rFonts w:hint="eastAsia"/>
          <w:lang w:val="en-US" w:eastAsia="zh-CN"/>
        </w:rPr>
      </w:pPr>
      <w:r>
        <w:rPr>
          <w:rFonts w:hint="eastAsia"/>
          <w:lang w:val="en-US" w:eastAsia="zh-CN"/>
        </w:rPr>
        <w:t>①户外广告设置的高品质示范路，以形象展示为主，营造干净素雅、简洁大气的城市形象。设置的户外广告设施既要体现景德镇特色的区域经济特色又要塑造良好的城市迎宾环境，宜宣传展示景德镇“名、优、特”产品为主。</w:t>
      </w:r>
    </w:p>
    <w:p w14:paraId="327A6322">
      <w:pPr>
        <w:bidi w:val="0"/>
        <w:rPr>
          <w:rFonts w:hint="eastAsia"/>
          <w:lang w:val="en-US" w:eastAsia="zh-CN"/>
        </w:rPr>
      </w:pPr>
      <w:r>
        <w:rPr>
          <w:rFonts w:hint="eastAsia"/>
          <w:lang w:val="en-US" w:eastAsia="zh-CN"/>
        </w:rPr>
        <w:t>②商业广告管控要求</w:t>
      </w:r>
    </w:p>
    <w:p w14:paraId="7DD2C951">
      <w:pPr>
        <w:bidi w:val="0"/>
        <w:rPr>
          <w:rFonts w:hint="eastAsia"/>
          <w:lang w:val="en-US" w:eastAsia="zh-CN"/>
        </w:rPr>
      </w:pPr>
      <w:r>
        <w:rPr>
          <w:rFonts w:hint="eastAsia"/>
          <w:lang w:val="en-US" w:eastAsia="zh-CN"/>
        </w:rPr>
        <w:t>·严格管理建筑底部近人空间户外广告设施设置的范围、类型、数量以及夜景效果商业性广告设施设仅限商业、工业、专业市场建筑及混合功能建筑的商业部分建筑外墙面设置；</w:t>
      </w:r>
    </w:p>
    <w:p w14:paraId="7E8103E4">
      <w:pPr>
        <w:bidi w:val="0"/>
        <w:rPr>
          <w:rFonts w:hint="eastAsia"/>
          <w:lang w:val="en-US" w:eastAsia="zh-CN"/>
        </w:rPr>
      </w:pPr>
      <w:r>
        <w:rPr>
          <w:rFonts w:hint="eastAsia"/>
          <w:lang w:val="en-US" w:eastAsia="zh-CN"/>
        </w:rPr>
        <w:t>·形式、材质:积极引导新技术、新材料的运用，不应设置喷绘、粘贴等低档次形式的户外广告设施；</w:t>
      </w:r>
    </w:p>
    <w:p w14:paraId="1AC7D6D0">
      <w:pPr>
        <w:bidi w:val="0"/>
        <w:rPr>
          <w:rFonts w:hint="eastAsia"/>
          <w:lang w:val="en-US" w:eastAsia="zh-CN"/>
        </w:rPr>
      </w:pPr>
      <w:r>
        <w:rPr>
          <w:rFonts w:hint="eastAsia"/>
          <w:lang w:val="en-US" w:eastAsia="zh-CN"/>
        </w:rPr>
        <w:t>·内容:以商业广告为主，适当提高公益广告设置比重；</w:t>
      </w:r>
    </w:p>
    <w:p w14:paraId="22CF91AF">
      <w:pPr>
        <w:bidi w:val="0"/>
        <w:rPr>
          <w:rFonts w:hint="eastAsia"/>
          <w:lang w:val="en-US" w:eastAsia="zh-CN"/>
        </w:rPr>
      </w:pPr>
      <w:r>
        <w:rPr>
          <w:rFonts w:hint="eastAsia"/>
          <w:lang w:val="en-US" w:eastAsia="zh-CN"/>
        </w:rPr>
        <w:t>·位置:同一栋建筑的户外广告设施位置须统一规划，不得破坏建筑物外立面；</w:t>
      </w:r>
    </w:p>
    <w:p w14:paraId="2FC3785A">
      <w:pPr>
        <w:bidi w:val="0"/>
        <w:rPr>
          <w:rFonts w:hint="eastAsia"/>
          <w:lang w:val="en-US" w:eastAsia="zh-CN"/>
        </w:rPr>
      </w:pPr>
      <w:r>
        <w:rPr>
          <w:rFonts w:hint="eastAsia"/>
          <w:lang w:val="en-US" w:eastAsia="zh-CN"/>
        </w:rPr>
        <w:t>·照明:在不影响交通的前提下，应结合夜景灯光进行日间和夜间专业形象设计；</w:t>
      </w:r>
    </w:p>
    <w:p w14:paraId="17275276">
      <w:pPr>
        <w:bidi w:val="0"/>
        <w:rPr>
          <w:rFonts w:hint="eastAsia"/>
          <w:lang w:val="en-US" w:eastAsia="zh-CN"/>
        </w:rPr>
      </w:pPr>
      <w:r>
        <w:rPr>
          <w:rFonts w:hint="eastAsia"/>
          <w:lang w:val="en-US" w:eastAsia="zh-CN"/>
        </w:rPr>
        <w:t>·色彩:在与区域建筑景观相协调的基础上，以淡暖色调为主，渲染城市活力。</w:t>
      </w:r>
    </w:p>
    <w:p w14:paraId="14A48B6D">
      <w:pPr>
        <w:pStyle w:val="2"/>
        <w:rPr>
          <w:rFonts w:hint="eastAsia"/>
          <w:b/>
          <w:bCs/>
          <w:lang w:val="en-US" w:eastAsia="zh-CN"/>
        </w:rPr>
      </w:pPr>
      <w:r>
        <w:rPr>
          <w:rFonts w:hint="eastAsia"/>
          <w:b/>
          <w:bCs/>
          <w:lang w:val="en-US" w:eastAsia="zh-CN"/>
        </w:rPr>
        <w:t>（2）城市特色发展区域</w:t>
      </w:r>
    </w:p>
    <w:p w14:paraId="31256A25">
      <w:pPr>
        <w:bidi w:val="0"/>
        <w:rPr>
          <w:rFonts w:hint="eastAsia"/>
          <w:lang w:val="en-US" w:eastAsia="zh-CN"/>
        </w:rPr>
      </w:pPr>
      <w:r>
        <w:rPr>
          <w:rFonts w:hint="eastAsia"/>
          <w:lang w:val="en-US" w:eastAsia="zh-CN"/>
        </w:rPr>
        <w:t>1）城市重要门户管控要求</w:t>
      </w:r>
    </w:p>
    <w:p w14:paraId="74190019">
      <w:pPr>
        <w:bidi w:val="0"/>
        <w:rPr>
          <w:rFonts w:hint="eastAsia"/>
          <w:lang w:val="en-US" w:eastAsia="zh-CN"/>
        </w:rPr>
      </w:pPr>
      <w:r>
        <w:rPr>
          <w:rFonts w:hint="eastAsia"/>
          <w:lang w:val="en-US" w:eastAsia="zh-CN"/>
        </w:rPr>
        <w:t>①形象要求：户外广告设施应秉承“精品”路线，以展示城市站前、窗口形象为核心，突出户外广告设施的创意性、造型设计及制作的艺术化、与环境的一体化，发布产品的品牌化。</w:t>
      </w:r>
    </w:p>
    <w:p w14:paraId="5385F6BD">
      <w:pPr>
        <w:bidi w:val="0"/>
        <w:rPr>
          <w:rFonts w:hint="eastAsia"/>
          <w:lang w:val="en-US" w:eastAsia="zh-CN"/>
        </w:rPr>
      </w:pPr>
      <w:r>
        <w:rPr>
          <w:rFonts w:hint="eastAsia"/>
          <w:lang w:val="en-US" w:eastAsia="zh-CN"/>
        </w:rPr>
        <w:t>②以景德镇机场及北站外城市公共区域及进出该区域的主要道路沿线为整体，根据场地建筑的空间特征，统一布局户外广告设施。</w:t>
      </w:r>
    </w:p>
    <w:p w14:paraId="04B19E83">
      <w:pPr>
        <w:bidi w:val="0"/>
        <w:rPr>
          <w:rFonts w:hint="eastAsia"/>
          <w:lang w:val="en-US" w:eastAsia="zh-CN"/>
        </w:rPr>
      </w:pPr>
      <w:r>
        <w:rPr>
          <w:rFonts w:hint="eastAsia"/>
          <w:lang w:val="en-US" w:eastAsia="zh-CN"/>
        </w:rPr>
        <w:t>③ 秉持“高质精品”标准，体现景德镇城市建设水平。鼓励新技术、新材料的应用，鼓励地标性户外广告设施的设置。</w:t>
      </w:r>
    </w:p>
    <w:p w14:paraId="7D7F3E8C">
      <w:pPr>
        <w:bidi w:val="0"/>
        <w:rPr>
          <w:rFonts w:hint="eastAsia"/>
          <w:lang w:val="en-US" w:eastAsia="zh-CN"/>
        </w:rPr>
      </w:pPr>
      <w:r>
        <w:rPr>
          <w:rFonts w:hint="eastAsia"/>
          <w:lang w:val="en-US" w:eastAsia="zh-CN"/>
        </w:rPr>
        <w:t>2）滨江特色风貌带管控要求</w:t>
      </w:r>
    </w:p>
    <w:p w14:paraId="31E79ADA">
      <w:pPr>
        <w:bidi w:val="0"/>
        <w:rPr>
          <w:rFonts w:hint="eastAsia"/>
          <w:lang w:val="en-US" w:eastAsia="zh-CN"/>
        </w:rPr>
      </w:pPr>
      <w:r>
        <w:rPr>
          <w:rFonts w:hint="eastAsia"/>
          <w:lang w:val="en-US" w:eastAsia="zh-CN"/>
        </w:rPr>
        <w:t>①形象要求：依托区域整体景观环境和市民活动特征，户外广告设施应注重品质打造突出融入自然，注重视觉形象，体现景观性、互动性。</w:t>
      </w:r>
    </w:p>
    <w:p w14:paraId="75BCE868">
      <w:pPr>
        <w:bidi w:val="0"/>
        <w:rPr>
          <w:rFonts w:hint="eastAsia"/>
          <w:lang w:val="en-US" w:eastAsia="zh-CN"/>
        </w:rPr>
      </w:pPr>
      <w:r>
        <w:rPr>
          <w:rFonts w:hint="eastAsia"/>
          <w:lang w:val="en-US" w:eastAsia="zh-CN"/>
        </w:rPr>
        <w:t>②类型要求:可结合沿线公共空间设置投影类户外广告设施，结合建筑底层近人商业空间设置LED、投影、灯箱等户外广告设施;鼓励互动式和实物造型户外广告设施的设置。</w:t>
      </w:r>
    </w:p>
    <w:p w14:paraId="296D2515">
      <w:pPr>
        <w:bidi w:val="0"/>
        <w:rPr>
          <w:rFonts w:hint="eastAsia"/>
          <w:lang w:val="en-US" w:eastAsia="zh-CN"/>
        </w:rPr>
      </w:pPr>
      <w:r>
        <w:rPr>
          <w:rFonts w:hint="eastAsia"/>
          <w:lang w:val="en-US" w:eastAsia="zh-CN"/>
        </w:rPr>
        <w:t>③照明要求:照明设计应结合昌江夜游进行整体考虑，营造滨江休闲氛围。</w:t>
      </w:r>
    </w:p>
    <w:p w14:paraId="3801624F">
      <w:pPr>
        <w:pStyle w:val="2"/>
        <w:rPr>
          <w:rFonts w:hint="eastAsia"/>
          <w:b/>
          <w:bCs/>
          <w:lang w:val="en-US" w:eastAsia="zh-CN"/>
        </w:rPr>
      </w:pPr>
      <w:r>
        <w:rPr>
          <w:rFonts w:hint="eastAsia"/>
          <w:b/>
          <w:bCs/>
          <w:lang w:val="en-US" w:eastAsia="zh-CN"/>
        </w:rPr>
        <w:t>（3）历史文化街区、历史风貌区域</w:t>
      </w:r>
    </w:p>
    <w:p w14:paraId="225CB34A">
      <w:pPr>
        <w:bidi w:val="0"/>
        <w:rPr>
          <w:rFonts w:hint="eastAsia"/>
          <w:lang w:val="en-US" w:eastAsia="zh-CN"/>
        </w:rPr>
      </w:pPr>
      <w:r>
        <w:rPr>
          <w:rFonts w:hint="eastAsia"/>
          <w:lang w:val="en-US" w:eastAsia="zh-CN"/>
        </w:rPr>
        <w:t>A、形象要求：设置的户外广告设施应融入历史环境，体现历史文化街区特色。</w:t>
      </w:r>
    </w:p>
    <w:p w14:paraId="3503DAA0">
      <w:pPr>
        <w:bidi w:val="0"/>
        <w:rPr>
          <w:rFonts w:hint="eastAsia"/>
          <w:lang w:val="en-US" w:eastAsia="zh-CN"/>
        </w:rPr>
      </w:pPr>
      <w:r>
        <w:rPr>
          <w:rFonts w:hint="eastAsia"/>
          <w:lang w:val="en-US" w:eastAsia="zh-CN"/>
        </w:rPr>
        <w:t>B、类型要求：可结合商业空间设置投影、LED透明屏、灯箱等广告类型，鼓励将历史要素与新技术、新媒体户外广告类型相结合，追求精致、打造品质、体现古朴，展示传统文化。</w:t>
      </w:r>
    </w:p>
    <w:p w14:paraId="1CF30FC0">
      <w:pPr>
        <w:bidi w:val="0"/>
        <w:rPr>
          <w:rFonts w:hint="eastAsia"/>
          <w:lang w:val="en-US" w:eastAsia="zh-CN"/>
        </w:rPr>
      </w:pPr>
      <w:r>
        <w:rPr>
          <w:rFonts w:hint="eastAsia"/>
          <w:lang w:val="en-US" w:eastAsia="zh-CN"/>
        </w:rPr>
        <w:t>C、色彩要求：应融入历史环境，可适量点缀暖色，为历史文化街区添加活力。</w:t>
      </w:r>
      <w:bookmarkEnd w:id="5"/>
    </w:p>
    <w:p w14:paraId="1A75E8C1">
      <w:pPr>
        <w:pStyle w:val="6"/>
        <w:bidi w:val="0"/>
        <w:rPr>
          <w:color w:val="FF0000"/>
        </w:rPr>
      </w:pPr>
      <w:r>
        <w:rPr>
          <w:rFonts w:hint="eastAsia"/>
          <w:color w:val="FF0000"/>
          <w:lang w:val="en-US" w:eastAsia="zh-CN"/>
        </w:rPr>
        <w:t>五</w:t>
      </w:r>
      <w:r>
        <w:rPr>
          <w:rFonts w:hint="eastAsia"/>
          <w:color w:val="FF0000"/>
        </w:rPr>
        <w:t>、公示事项</w:t>
      </w:r>
    </w:p>
    <w:p w14:paraId="7DF5DE1F">
      <w:pPr>
        <w:bidi w:val="0"/>
        <w:rPr>
          <w:rFonts w:hint="eastAsia"/>
          <w:color w:val="FF0000"/>
          <w:lang w:val="en-US" w:eastAsia="zh-CN"/>
        </w:rPr>
      </w:pPr>
      <w:r>
        <w:rPr>
          <w:rFonts w:hint="eastAsia"/>
          <w:color w:val="FF0000"/>
          <w:lang w:val="en-US" w:eastAsia="zh-CN"/>
        </w:rPr>
        <w:t>（一）公示时间：公示期为30天，自2025年6月5日至2025年7月5日止。</w:t>
      </w:r>
    </w:p>
    <w:p w14:paraId="33E89300">
      <w:pPr>
        <w:bidi w:val="0"/>
        <w:rPr>
          <w:rFonts w:hint="eastAsia"/>
          <w:color w:val="FF0000"/>
          <w:lang w:val="en-US" w:eastAsia="zh-CN"/>
        </w:rPr>
      </w:pPr>
      <w:r>
        <w:rPr>
          <w:rFonts w:hint="eastAsia"/>
          <w:color w:val="FF0000"/>
          <w:lang w:val="en-US" w:eastAsia="zh-CN"/>
        </w:rPr>
        <w:t>（二）公示网站：https://cgj.jdz.gov.cn/</w:t>
      </w:r>
    </w:p>
    <w:p w14:paraId="557839D9">
      <w:pPr>
        <w:bidi w:val="0"/>
        <w:rPr>
          <w:rFonts w:hint="eastAsia"/>
          <w:color w:val="FF0000"/>
          <w:lang w:val="en-US" w:eastAsia="zh-CN"/>
        </w:rPr>
      </w:pPr>
      <w:r>
        <w:rPr>
          <w:rFonts w:hint="eastAsia"/>
          <w:color w:val="FF0000"/>
          <w:lang w:val="en-US" w:eastAsia="zh-CN"/>
        </w:rPr>
        <w:t>（三）公示意见反馈方式：</w:t>
      </w:r>
    </w:p>
    <w:p w14:paraId="3D020FD7">
      <w:pPr>
        <w:bidi w:val="0"/>
        <w:rPr>
          <w:rFonts w:hint="default"/>
          <w:color w:val="FF0000"/>
          <w:lang w:val="en-US" w:eastAsia="zh-CN"/>
        </w:rPr>
      </w:pPr>
      <w:r>
        <w:rPr>
          <w:rFonts w:hint="eastAsia"/>
          <w:color w:val="FF0000"/>
          <w:lang w:val="en-US" w:eastAsia="zh-CN"/>
        </w:rPr>
        <w:t>1.联系电话：0798-8506877</w:t>
      </w:r>
    </w:p>
    <w:p w14:paraId="3C2F6B53">
      <w:pPr>
        <w:bidi w:val="0"/>
        <w:rPr>
          <w:rFonts w:hint="eastAsia"/>
          <w:color w:val="FF0000"/>
          <w:lang w:val="en-US" w:eastAsia="zh-CN"/>
        </w:rPr>
      </w:pPr>
      <w:r>
        <w:rPr>
          <w:rFonts w:hint="eastAsia"/>
          <w:color w:val="FF0000"/>
          <w:lang w:val="en-US" w:eastAsia="zh-CN"/>
        </w:rPr>
        <w:t xml:space="preserve">2.发电子邮件至：jdzsrk@126.com </w:t>
      </w:r>
      <w:bookmarkStart w:id="8" w:name="_GoBack"/>
      <w:bookmarkEnd w:id="8"/>
    </w:p>
    <w:p w14:paraId="0FC7FBD3">
      <w:pPr>
        <w:bidi w:val="0"/>
        <w:rPr>
          <w:rFonts w:hint="eastAsia"/>
          <w:color w:val="FF0000"/>
          <w:lang w:val="en-US" w:eastAsia="zh"/>
        </w:rPr>
      </w:pPr>
      <w:r>
        <w:rPr>
          <w:rFonts w:hint="eastAsia"/>
          <w:color w:val="FF0000"/>
          <w:lang w:val="en-US" w:eastAsia="zh-CN"/>
        </w:rPr>
        <w:t>3.监督举报电话：0798-8506877若需进一步了解规划内容，请致电0798-8506877咨询。欢迎广大市民对本专项规划提出宝贵意见，并请留下联系方式。感谢您对城市管理工作的参与和支持！</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00"/>
      </w:pPr>
      <w:r>
        <w:separator/>
      </w:r>
    </w:p>
  </w:footnote>
  <w:footnote w:type="continuationSeparator" w:id="1">
    <w:p>
      <w:pPr>
        <w:spacing w:before="0" w:after="0" w:line="24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C6A12"/>
    <w:multiLevelType w:val="multilevel"/>
    <w:tmpl w:val="0E7C6A12"/>
    <w:lvl w:ilvl="0" w:tentative="0">
      <w:start w:val="1"/>
      <w:numFmt w:val="chineseCountingThousand"/>
      <w:pStyle w:val="30"/>
      <w:lvlText w:val="第%1章  "/>
      <w:lvlJc w:val="center"/>
      <w:pPr>
        <w:tabs>
          <w:tab w:val="left" w:pos="420"/>
        </w:tabs>
        <w:ind w:left="420" w:firstLine="0"/>
      </w:pPr>
      <w:rPr>
        <w:rFonts w:hint="default" w:ascii="Times New Roman" w:hAnsi="Times New Roman" w:eastAsia="方正小标宋简体"/>
        <w:b/>
        <w:i w:val="0"/>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110052"/>
    <w:multiLevelType w:val="multilevel"/>
    <w:tmpl w:val="32110052"/>
    <w:lvl w:ilvl="0" w:tentative="0">
      <w:start w:val="1"/>
      <w:numFmt w:val="decimal"/>
      <w:pStyle w:val="51"/>
      <w:suff w:val="space"/>
      <w:lvlText w:val="附表%1"/>
      <w:lvlJc w:val="left"/>
      <w:pPr>
        <w:ind w:left="4105"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3CDE488B"/>
    <w:multiLevelType w:val="multilevel"/>
    <w:tmpl w:val="3CDE488B"/>
    <w:lvl w:ilvl="0" w:tentative="0">
      <w:start w:val="1"/>
      <w:numFmt w:val="chineseCountingThousand"/>
      <w:pStyle w:val="38"/>
      <w:lvlText w:val="第%1条"/>
      <w:lvlJc w:val="left"/>
      <w:pPr>
        <w:ind w:left="1611" w:hanging="420"/>
      </w:pPr>
      <w:rPr>
        <w:rFonts w:hint="default" w:ascii="Times New Roman" w:hAnsi="Times New Roman" w:eastAsia="楷体"/>
        <w:b/>
        <w:i w:val="0"/>
        <w:sz w:val="32"/>
      </w:rPr>
    </w:lvl>
    <w:lvl w:ilvl="1" w:tentative="0">
      <w:start w:val="1"/>
      <w:numFmt w:val="lowerLetter"/>
      <w:lvlText w:val="%2)"/>
      <w:lvlJc w:val="left"/>
      <w:pPr>
        <w:ind w:left="1442" w:hanging="420"/>
      </w:pPr>
      <w:rPr>
        <w:rFonts w:hint="eastAsia"/>
      </w:rPr>
    </w:lvl>
    <w:lvl w:ilvl="2" w:tentative="0">
      <w:start w:val="1"/>
      <w:numFmt w:val="lowerRoman"/>
      <w:lvlText w:val="%3."/>
      <w:lvlJc w:val="right"/>
      <w:pPr>
        <w:ind w:left="1862" w:hanging="420"/>
      </w:pPr>
      <w:rPr>
        <w:rFonts w:hint="eastAsia"/>
      </w:rPr>
    </w:lvl>
    <w:lvl w:ilvl="3" w:tentative="0">
      <w:start w:val="1"/>
      <w:numFmt w:val="decimal"/>
      <w:lvlText w:val="%4."/>
      <w:lvlJc w:val="left"/>
      <w:pPr>
        <w:ind w:left="2282" w:hanging="420"/>
      </w:pPr>
      <w:rPr>
        <w:rFonts w:hint="eastAsia"/>
      </w:rPr>
    </w:lvl>
    <w:lvl w:ilvl="4" w:tentative="0">
      <w:start w:val="1"/>
      <w:numFmt w:val="lowerLetter"/>
      <w:lvlText w:val="%5)"/>
      <w:lvlJc w:val="left"/>
      <w:pPr>
        <w:ind w:left="2702" w:hanging="420"/>
      </w:pPr>
      <w:rPr>
        <w:rFonts w:hint="eastAsia"/>
      </w:rPr>
    </w:lvl>
    <w:lvl w:ilvl="5" w:tentative="0">
      <w:start w:val="1"/>
      <w:numFmt w:val="lowerRoman"/>
      <w:lvlText w:val="%6."/>
      <w:lvlJc w:val="right"/>
      <w:pPr>
        <w:ind w:left="3122" w:hanging="420"/>
      </w:pPr>
      <w:rPr>
        <w:rFonts w:hint="eastAsia"/>
      </w:rPr>
    </w:lvl>
    <w:lvl w:ilvl="6" w:tentative="0">
      <w:start w:val="1"/>
      <w:numFmt w:val="decimal"/>
      <w:lvlText w:val="%7."/>
      <w:lvlJc w:val="left"/>
      <w:pPr>
        <w:ind w:left="3542" w:hanging="420"/>
      </w:pPr>
      <w:rPr>
        <w:rFonts w:hint="eastAsia"/>
      </w:rPr>
    </w:lvl>
    <w:lvl w:ilvl="7" w:tentative="0">
      <w:start w:val="1"/>
      <w:numFmt w:val="lowerLetter"/>
      <w:lvlText w:val="%8)"/>
      <w:lvlJc w:val="left"/>
      <w:pPr>
        <w:ind w:left="3962" w:hanging="420"/>
      </w:pPr>
      <w:rPr>
        <w:rFonts w:hint="eastAsia"/>
      </w:rPr>
    </w:lvl>
    <w:lvl w:ilvl="8" w:tentative="0">
      <w:start w:val="1"/>
      <w:numFmt w:val="lowerRoman"/>
      <w:lvlText w:val="%9."/>
      <w:lvlJc w:val="right"/>
      <w:pPr>
        <w:ind w:left="4382" w:hanging="420"/>
      </w:pPr>
      <w:rPr>
        <w:rFonts w:hint="eastAsia"/>
      </w:rPr>
    </w:lvl>
  </w:abstractNum>
  <w:abstractNum w:abstractNumId="3">
    <w:nsid w:val="4C6557D5"/>
    <w:multiLevelType w:val="singleLevel"/>
    <w:tmpl w:val="4C6557D5"/>
    <w:lvl w:ilvl="0" w:tentative="0">
      <w:start w:val="1"/>
      <w:numFmt w:val="decimal"/>
      <w:pStyle w:val="15"/>
      <w:lvlText w:val="%1."/>
      <w:lvlJc w:val="left"/>
      <w:pPr>
        <w:tabs>
          <w:tab w:val="left" w:pos="2040"/>
        </w:tabs>
        <w:ind w:left="204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4A1F2C"/>
    <w:rsid w:val="04A9380C"/>
    <w:rsid w:val="077B4E78"/>
    <w:rsid w:val="084310C0"/>
    <w:rsid w:val="129A3715"/>
    <w:rsid w:val="15771196"/>
    <w:rsid w:val="19E56DD6"/>
    <w:rsid w:val="1BE02598"/>
    <w:rsid w:val="1D4A1F2C"/>
    <w:rsid w:val="1D682FCE"/>
    <w:rsid w:val="256A2F13"/>
    <w:rsid w:val="2BEE19DC"/>
    <w:rsid w:val="2CBA6DEC"/>
    <w:rsid w:val="37E301EE"/>
    <w:rsid w:val="3D1115E0"/>
    <w:rsid w:val="3E12022A"/>
    <w:rsid w:val="42DA6FBE"/>
    <w:rsid w:val="45DD4C36"/>
    <w:rsid w:val="47352751"/>
    <w:rsid w:val="4FD06FBC"/>
    <w:rsid w:val="50F840A0"/>
    <w:rsid w:val="51E335B3"/>
    <w:rsid w:val="534F1156"/>
    <w:rsid w:val="53753750"/>
    <w:rsid w:val="55A53C8F"/>
    <w:rsid w:val="5EFF3F08"/>
    <w:rsid w:val="61BE39B8"/>
    <w:rsid w:val="63CA29D9"/>
    <w:rsid w:val="64333C96"/>
    <w:rsid w:val="65E27CEE"/>
    <w:rsid w:val="670059F8"/>
    <w:rsid w:val="68E65CFE"/>
    <w:rsid w:val="6D1253C1"/>
    <w:rsid w:val="710B1016"/>
    <w:rsid w:val="7B3B62E0"/>
    <w:rsid w:val="7B926375"/>
    <w:rsid w:val="7C02723D"/>
    <w:rsid w:val="7D751799"/>
    <w:rsid w:val="7D897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50" w:beforeLines="50" w:after="50" w:afterLines="50" w:line="520" w:lineRule="exact"/>
      <w:ind w:firstLine="200" w:firstLineChars="200"/>
      <w:jc w:val="both"/>
    </w:pPr>
    <w:rPr>
      <w:rFonts w:ascii="Times New Roman" w:hAnsi="Times New Roman" w:eastAsia="仿宋_GB2312" w:cs="Times New Roman"/>
      <w:kern w:val="2"/>
      <w:sz w:val="30"/>
      <w:szCs w:val="22"/>
      <w:lang w:val="en-US" w:eastAsia="zh-CN" w:bidi="ar-SA"/>
    </w:rPr>
  </w:style>
  <w:style w:type="paragraph" w:styleId="5">
    <w:name w:val="heading 1"/>
    <w:basedOn w:val="1"/>
    <w:next w:val="1"/>
    <w:link w:val="39"/>
    <w:qFormat/>
    <w:uiPriority w:val="9"/>
    <w:pPr>
      <w:keepNext/>
      <w:keepLines/>
      <w:spacing w:before="10" w:after="10"/>
      <w:ind w:firstLine="0" w:firstLineChars="0"/>
      <w:jc w:val="center"/>
      <w:textAlignment w:val="center"/>
      <w:outlineLvl w:val="0"/>
    </w:pPr>
    <w:rPr>
      <w:rFonts w:eastAsia="方正小标宋简体" w:cs="Times New Roman"/>
      <w:b/>
      <w:color w:val="000000"/>
      <w:kern w:val="44"/>
      <w:sz w:val="36"/>
      <w:szCs w:val="36"/>
    </w:rPr>
  </w:style>
  <w:style w:type="paragraph" w:styleId="6">
    <w:name w:val="heading 2"/>
    <w:basedOn w:val="1"/>
    <w:next w:val="1"/>
    <w:link w:val="25"/>
    <w:unhideWhenUsed/>
    <w:qFormat/>
    <w:uiPriority w:val="0"/>
    <w:pPr>
      <w:keepNext/>
      <w:keepLines/>
      <w:spacing w:before="260" w:after="260" w:line="416" w:lineRule="atLeast"/>
      <w:outlineLvl w:val="1"/>
    </w:pPr>
    <w:rPr>
      <w:rFonts w:ascii="等线 Light" w:hAnsi="等线 Light" w:eastAsia="等线 Light" w:cs="Times New Roman"/>
      <w:b/>
      <w:bCs/>
      <w:sz w:val="32"/>
      <w:szCs w:val="32"/>
    </w:rPr>
  </w:style>
  <w:style w:type="paragraph" w:styleId="7">
    <w:name w:val="heading 3"/>
    <w:basedOn w:val="1"/>
    <w:next w:val="1"/>
    <w:link w:val="40"/>
    <w:unhideWhenUsed/>
    <w:qFormat/>
    <w:uiPriority w:val="9"/>
    <w:pPr>
      <w:keepNext/>
      <w:keepLines/>
      <w:spacing w:before="260" w:after="260" w:line="416" w:lineRule="atLeast"/>
      <w:outlineLvl w:val="2"/>
    </w:pPr>
    <w:rPr>
      <w:b/>
      <w:bCs/>
      <w:sz w:val="32"/>
      <w:szCs w:val="32"/>
    </w:rPr>
  </w:style>
  <w:style w:type="paragraph" w:styleId="8">
    <w:name w:val="heading 4"/>
    <w:basedOn w:val="1"/>
    <w:next w:val="1"/>
    <w:link w:val="32"/>
    <w:unhideWhenUsed/>
    <w:qFormat/>
    <w:uiPriority w:val="0"/>
    <w:pPr>
      <w:keepNext/>
      <w:keepLines/>
      <w:spacing w:before="280" w:after="290" w:line="376" w:lineRule="atLeast"/>
      <w:outlineLvl w:val="3"/>
    </w:pPr>
    <w:rPr>
      <w:rFonts w:ascii="等线 Light" w:hAnsi="等线 Light" w:eastAsia="等线 Light" w:cs="Times New Roman"/>
      <w:b/>
      <w:bCs/>
      <w:sz w:val="28"/>
      <w:szCs w:val="28"/>
    </w:rPr>
  </w:style>
  <w:style w:type="paragraph" w:styleId="9">
    <w:name w:val="heading 5"/>
    <w:basedOn w:val="1"/>
    <w:next w:val="1"/>
    <w:link w:val="41"/>
    <w:unhideWhenUsed/>
    <w:qFormat/>
    <w:uiPriority w:val="9"/>
    <w:pPr>
      <w:keepNext/>
      <w:keepLines/>
      <w:spacing w:before="280" w:after="290" w:line="376" w:lineRule="atLeast"/>
      <w:outlineLvl w:val="4"/>
    </w:pPr>
    <w:rPr>
      <w:b/>
      <w:bCs/>
      <w:sz w:val="28"/>
      <w:szCs w:val="28"/>
    </w:rPr>
  </w:style>
  <w:style w:type="character" w:default="1" w:styleId="22">
    <w:name w:val="Default Paragraph Font"/>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link w:val="28"/>
    <w:unhideWhenUsed/>
    <w:qFormat/>
    <w:uiPriority w:val="99"/>
    <w:pPr>
      <w:spacing w:after="120" w:line="520" w:lineRule="exact"/>
      <w:ind w:firstLineChars="100"/>
    </w:pPr>
    <w:rPr>
      <w:rFonts w:eastAsia="仿宋_GB2312"/>
      <w:sz w:val="30"/>
      <w:szCs w:val="22"/>
    </w:rPr>
  </w:style>
  <w:style w:type="paragraph" w:styleId="3">
    <w:name w:val="Body Text"/>
    <w:basedOn w:val="1"/>
    <w:next w:val="4"/>
    <w:link w:val="29"/>
    <w:qFormat/>
    <w:uiPriority w:val="99"/>
    <w:pPr>
      <w:spacing w:line="360" w:lineRule="auto"/>
      <w:ind w:firstLine="420"/>
    </w:pPr>
    <w:rPr>
      <w:rFonts w:eastAsia="宋体"/>
      <w:sz w:val="32"/>
      <w:szCs w:val="32"/>
    </w:rPr>
  </w:style>
  <w:style w:type="paragraph" w:customStyle="1" w:styleId="4">
    <w:name w:val="引用1"/>
    <w:basedOn w:val="1"/>
    <w:next w:val="1"/>
    <w:qFormat/>
    <w:uiPriority w:val="29"/>
    <w:rPr>
      <w:i/>
      <w:iCs/>
      <w:color w:val="000000"/>
    </w:rPr>
  </w:style>
  <w:style w:type="paragraph" w:styleId="10">
    <w:name w:val="Body Text Indent"/>
    <w:basedOn w:val="1"/>
    <w:next w:val="3"/>
    <w:link w:val="42"/>
    <w:qFormat/>
    <w:uiPriority w:val="99"/>
    <w:pPr>
      <w:spacing w:after="120"/>
      <w:ind w:left="420" w:leftChars="200" w:firstLine="720"/>
    </w:pPr>
    <w:rPr>
      <w:sz w:val="28"/>
    </w:rPr>
  </w:style>
  <w:style w:type="paragraph" w:styleId="11">
    <w:name w:val="toc 8"/>
    <w:basedOn w:val="1"/>
    <w:next w:val="1"/>
    <w:unhideWhenUsed/>
    <w:qFormat/>
    <w:uiPriority w:val="39"/>
    <w:pPr>
      <w:ind w:left="2940" w:leftChars="1400"/>
    </w:pPr>
  </w:style>
  <w:style w:type="paragraph" w:styleId="12">
    <w:name w:val="footer"/>
    <w:basedOn w:val="1"/>
    <w:link w:val="43"/>
    <w:unhideWhenUsed/>
    <w:qFormat/>
    <w:uiPriority w:val="99"/>
    <w:pPr>
      <w:tabs>
        <w:tab w:val="center" w:pos="4153"/>
        <w:tab w:val="right" w:pos="8306"/>
      </w:tabs>
      <w:snapToGrid w:val="0"/>
      <w:jc w:val="left"/>
    </w:pPr>
    <w:rPr>
      <w:sz w:val="18"/>
      <w:szCs w:val="18"/>
    </w:rPr>
  </w:style>
  <w:style w:type="paragraph" w:styleId="13">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List Number 5"/>
    <w:basedOn w:val="1"/>
    <w:qFormat/>
    <w:uiPriority w:val="0"/>
    <w:pPr>
      <w:numPr>
        <w:ilvl w:val="0"/>
        <w:numId w:val="1"/>
      </w:numPr>
      <w:spacing w:before="0" w:beforeLines="0" w:after="0" w:afterLines="0"/>
    </w:pPr>
    <w:rPr>
      <w:rFonts w:cs="Times New Roman"/>
      <w:sz w:val="28"/>
    </w:rPr>
  </w:style>
  <w:style w:type="paragraph" w:styleId="16">
    <w:name w:val="footnote text"/>
    <w:basedOn w:val="1"/>
    <w:link w:val="44"/>
    <w:unhideWhenUsed/>
    <w:qFormat/>
    <w:uiPriority w:val="99"/>
    <w:pPr>
      <w:snapToGrid w:val="0"/>
      <w:jc w:val="left"/>
    </w:pPr>
    <w:rPr>
      <w:sz w:val="18"/>
      <w:szCs w:val="18"/>
    </w:rPr>
  </w:style>
  <w:style w:type="paragraph" w:styleId="17">
    <w:name w:val="toc 2"/>
    <w:basedOn w:val="1"/>
    <w:next w:val="1"/>
    <w:unhideWhenUsed/>
    <w:qFormat/>
    <w:uiPriority w:val="39"/>
    <w:pPr>
      <w:tabs>
        <w:tab w:val="right" w:leader="dot" w:pos="8296"/>
      </w:tabs>
      <w:spacing w:before="0" w:beforeLines="0" w:after="0" w:afterLines="0" w:line="400" w:lineRule="exact"/>
      <w:ind w:left="200" w:leftChars="200"/>
    </w:pPr>
    <w:rPr>
      <w:sz w:val="24"/>
    </w:rPr>
  </w:style>
  <w:style w:type="paragraph" w:styleId="18">
    <w:name w:val="Normal (Web)"/>
    <w:basedOn w:val="1"/>
    <w:qFormat/>
    <w:uiPriority w:val="0"/>
    <w:rPr>
      <w:sz w:val="24"/>
    </w:rPr>
  </w:style>
  <w:style w:type="paragraph" w:styleId="19">
    <w:name w:val="Body Text First Indent 2"/>
    <w:basedOn w:val="10"/>
    <w:qFormat/>
    <w:uiPriority w:val="0"/>
    <w:pPr>
      <w:ind w:firstLine="420" w:firstLineChars="200"/>
    </w:pPr>
  </w:style>
  <w:style w:type="table" w:styleId="21">
    <w:name w:val="Table Grid"/>
    <w:basedOn w:val="2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3">
    <w:name w:val="footnote reference"/>
    <w:unhideWhenUsed/>
    <w:qFormat/>
    <w:uiPriority w:val="99"/>
    <w:rPr>
      <w:vertAlign w:val="superscript"/>
    </w:rPr>
  </w:style>
  <w:style w:type="paragraph" w:customStyle="1" w:styleId="24">
    <w:name w:val="图片"/>
    <w:basedOn w:val="1"/>
    <w:qFormat/>
    <w:uiPriority w:val="0"/>
    <w:pPr>
      <w:spacing w:afterLines="0" w:line="240" w:lineRule="auto"/>
      <w:ind w:firstLine="0" w:firstLineChars="0"/>
      <w:jc w:val="center"/>
    </w:pPr>
    <w:rPr>
      <w:rFonts w:eastAsia="仿宋" w:cs="Times New Roman"/>
    </w:rPr>
  </w:style>
  <w:style w:type="character" w:customStyle="1" w:styleId="25">
    <w:name w:val="标题 2 字符"/>
    <w:link w:val="6"/>
    <w:qFormat/>
    <w:uiPriority w:val="0"/>
    <w:rPr>
      <w:rFonts w:ascii="等线 Light" w:hAnsi="等线 Light" w:eastAsia="等线 Light" w:cs="Times New Roman"/>
      <w:b/>
      <w:bCs/>
      <w:sz w:val="32"/>
      <w:szCs w:val="32"/>
    </w:rPr>
  </w:style>
  <w:style w:type="paragraph" w:customStyle="1" w:styleId="26">
    <w:name w:val="一、"/>
    <w:basedOn w:val="7"/>
    <w:link w:val="27"/>
    <w:qFormat/>
    <w:uiPriority w:val="0"/>
    <w:pPr>
      <w:keepNext w:val="0"/>
      <w:keepLines w:val="0"/>
      <w:spacing w:before="0" w:beforeLines="0" w:after="0" w:afterLines="0" w:line="480" w:lineRule="exact"/>
      <w:ind w:left="0" w:firstLine="200"/>
      <w:textAlignment w:val="center"/>
    </w:pPr>
    <w:rPr>
      <w:rFonts w:cs="Times New Roman"/>
      <w:bCs w:val="0"/>
      <w:sz w:val="28"/>
    </w:rPr>
  </w:style>
  <w:style w:type="character" w:customStyle="1" w:styleId="27">
    <w:name w:val="一、 字符"/>
    <w:link w:val="26"/>
    <w:qFormat/>
    <w:uiPriority w:val="0"/>
    <w:rPr>
      <w:rFonts w:cs="Times New Roman"/>
      <w:sz w:val="28"/>
    </w:rPr>
  </w:style>
  <w:style w:type="character" w:customStyle="1" w:styleId="28">
    <w:name w:val="正文首行缩进 字符"/>
    <w:basedOn w:val="29"/>
    <w:link w:val="2"/>
    <w:qFormat/>
    <w:uiPriority w:val="99"/>
    <w:rPr>
      <w:rFonts w:eastAsia="仿宋_GB2312"/>
      <w:sz w:val="30"/>
      <w:szCs w:val="22"/>
    </w:rPr>
  </w:style>
  <w:style w:type="character" w:customStyle="1" w:styleId="29">
    <w:name w:val="正文文本 字符"/>
    <w:link w:val="3"/>
    <w:qFormat/>
    <w:uiPriority w:val="99"/>
    <w:rPr>
      <w:rFonts w:eastAsia="宋体"/>
      <w:sz w:val="32"/>
      <w:szCs w:val="32"/>
    </w:rPr>
  </w:style>
  <w:style w:type="paragraph" w:customStyle="1" w:styleId="30">
    <w:name w:val="第一章"/>
    <w:basedOn w:val="5"/>
    <w:link w:val="31"/>
    <w:qFormat/>
    <w:uiPriority w:val="0"/>
    <w:pPr>
      <w:numPr>
        <w:ilvl w:val="0"/>
        <w:numId w:val="2"/>
      </w:numPr>
      <w:spacing w:before="204" w:after="204" w:line="560" w:lineRule="exact"/>
    </w:pPr>
    <w:rPr>
      <w:color w:val="000000"/>
    </w:rPr>
  </w:style>
  <w:style w:type="character" w:customStyle="1" w:styleId="31">
    <w:name w:val="第一章 字符"/>
    <w:link w:val="30"/>
    <w:qFormat/>
    <w:uiPriority w:val="0"/>
    <w:rPr>
      <w:color w:val="000000"/>
    </w:rPr>
  </w:style>
  <w:style w:type="character" w:customStyle="1" w:styleId="32">
    <w:name w:val="标题 4 字符"/>
    <w:link w:val="8"/>
    <w:semiHidden/>
    <w:qFormat/>
    <w:uiPriority w:val="9"/>
    <w:rPr>
      <w:rFonts w:ascii="等线 Light" w:hAnsi="等线 Light" w:eastAsia="等线 Light" w:cs="Times New Roman"/>
      <w:b/>
      <w:bCs/>
      <w:sz w:val="28"/>
      <w:szCs w:val="28"/>
    </w:rPr>
  </w:style>
  <w:style w:type="paragraph" w:customStyle="1" w:styleId="33">
    <w:name w:val="表格内容"/>
    <w:basedOn w:val="1"/>
    <w:qFormat/>
    <w:uiPriority w:val="0"/>
    <w:pPr>
      <w:spacing w:before="0" w:beforeLines="0" w:after="0" w:afterLines="0" w:line="240" w:lineRule="atLeast"/>
      <w:ind w:firstLine="0" w:firstLineChars="0"/>
      <w:jc w:val="center"/>
    </w:pPr>
    <w:rPr>
      <w:bCs/>
      <w:kern w:val="0"/>
      <w:sz w:val="21"/>
      <w:szCs w:val="24"/>
    </w:rPr>
  </w:style>
  <w:style w:type="paragraph" w:customStyle="1" w:styleId="34">
    <w:name w:val="表格标题"/>
    <w:basedOn w:val="1"/>
    <w:qFormat/>
    <w:uiPriority w:val="0"/>
    <w:pPr>
      <w:spacing w:before="0" w:beforeLines="0" w:after="0" w:afterLines="0" w:line="240" w:lineRule="auto"/>
      <w:ind w:firstLine="0" w:firstLineChars="0"/>
      <w:jc w:val="center"/>
    </w:pPr>
    <w:rPr>
      <w:rFonts w:hint="eastAsia"/>
      <w:b/>
      <w:sz w:val="21"/>
    </w:rPr>
  </w:style>
  <w:style w:type="character" w:customStyle="1" w:styleId="35">
    <w:name w:val="页眉 字符"/>
    <w:link w:val="13"/>
    <w:qFormat/>
    <w:uiPriority w:val="99"/>
    <w:rPr>
      <w:sz w:val="18"/>
      <w:szCs w:val="18"/>
    </w:rPr>
  </w:style>
  <w:style w:type="paragraph" w:customStyle="1" w:styleId="36">
    <w:name w:val="脚注"/>
    <w:basedOn w:val="16"/>
    <w:link w:val="50"/>
    <w:qFormat/>
    <w:uiPriority w:val="0"/>
    <w:pPr>
      <w:spacing w:before="0" w:beforeLines="0" w:after="0" w:afterLines="0" w:line="240" w:lineRule="atLeast"/>
      <w:ind w:firstLine="0" w:firstLineChars="0"/>
    </w:pPr>
  </w:style>
  <w:style w:type="paragraph" w:customStyle="1" w:styleId="37">
    <w:name w:val="Table Paragraph"/>
    <w:basedOn w:val="1"/>
    <w:qFormat/>
    <w:uiPriority w:val="1"/>
  </w:style>
  <w:style w:type="paragraph" w:customStyle="1" w:styleId="38">
    <w:name w:val="条"/>
    <w:basedOn w:val="7"/>
    <w:link w:val="45"/>
    <w:qFormat/>
    <w:uiPriority w:val="0"/>
    <w:pPr>
      <w:keepNext w:val="0"/>
      <w:keepLines w:val="0"/>
      <w:numPr>
        <w:ilvl w:val="0"/>
        <w:numId w:val="3"/>
      </w:numPr>
      <w:adjustRightInd w:val="0"/>
      <w:spacing w:before="50" w:after="50" w:line="520" w:lineRule="exact"/>
      <w:ind w:left="0" w:firstLine="200"/>
      <w:textAlignment w:val="center"/>
    </w:pPr>
    <w:rPr>
      <w:rFonts w:eastAsia="楷体"/>
      <w:bCs w:val="0"/>
    </w:rPr>
  </w:style>
  <w:style w:type="character" w:customStyle="1" w:styleId="39">
    <w:name w:val="标题 1 字符"/>
    <w:link w:val="5"/>
    <w:qFormat/>
    <w:uiPriority w:val="9"/>
    <w:rPr>
      <w:rFonts w:eastAsia="方正小标宋简体" w:cs="Times New Roman"/>
      <w:b/>
      <w:color w:val="000000"/>
      <w:kern w:val="44"/>
      <w:sz w:val="36"/>
      <w:szCs w:val="36"/>
    </w:rPr>
  </w:style>
  <w:style w:type="character" w:customStyle="1" w:styleId="40">
    <w:name w:val="标题 3 字符"/>
    <w:link w:val="7"/>
    <w:qFormat/>
    <w:uiPriority w:val="9"/>
    <w:rPr>
      <w:b/>
      <w:bCs/>
      <w:sz w:val="32"/>
      <w:szCs w:val="32"/>
    </w:rPr>
  </w:style>
  <w:style w:type="character" w:customStyle="1" w:styleId="41">
    <w:name w:val="标题 5 字符"/>
    <w:link w:val="9"/>
    <w:semiHidden/>
    <w:qFormat/>
    <w:uiPriority w:val="9"/>
    <w:rPr>
      <w:b/>
      <w:bCs/>
      <w:sz w:val="28"/>
      <w:szCs w:val="28"/>
    </w:rPr>
  </w:style>
  <w:style w:type="character" w:customStyle="1" w:styleId="42">
    <w:name w:val="正文文本缩进 字符"/>
    <w:link w:val="10"/>
    <w:qFormat/>
    <w:uiPriority w:val="99"/>
    <w:rPr>
      <w:sz w:val="28"/>
    </w:rPr>
  </w:style>
  <w:style w:type="character" w:customStyle="1" w:styleId="43">
    <w:name w:val="页脚 字符"/>
    <w:link w:val="12"/>
    <w:qFormat/>
    <w:uiPriority w:val="99"/>
    <w:rPr>
      <w:sz w:val="18"/>
      <w:szCs w:val="18"/>
    </w:rPr>
  </w:style>
  <w:style w:type="character" w:customStyle="1" w:styleId="44">
    <w:name w:val="脚注文本 字符"/>
    <w:link w:val="16"/>
    <w:semiHidden/>
    <w:qFormat/>
    <w:uiPriority w:val="99"/>
    <w:rPr>
      <w:sz w:val="18"/>
      <w:szCs w:val="18"/>
    </w:rPr>
  </w:style>
  <w:style w:type="character" w:customStyle="1" w:styleId="45">
    <w:name w:val="条 字符"/>
    <w:link w:val="38"/>
    <w:qFormat/>
    <w:uiPriority w:val="0"/>
    <w:rPr>
      <w:rFonts w:eastAsia="楷体"/>
    </w:rPr>
  </w:style>
  <w:style w:type="paragraph" w:customStyle="1" w:styleId="46">
    <w:name w:val="章首总领文段"/>
    <w:basedOn w:val="1"/>
    <w:link w:val="47"/>
    <w:qFormat/>
    <w:uiPriority w:val="0"/>
    <w:pPr>
      <w:spacing w:line="560" w:lineRule="exact"/>
    </w:pPr>
    <w:rPr>
      <w:rFonts w:eastAsia="楷体" w:cs="Times New Roman"/>
      <w:color w:val="000000"/>
      <w:kern w:val="44"/>
      <w:szCs w:val="36"/>
    </w:rPr>
  </w:style>
  <w:style w:type="character" w:customStyle="1" w:styleId="47">
    <w:name w:val="章首总领文段 字符"/>
    <w:link w:val="46"/>
    <w:qFormat/>
    <w:uiPriority w:val="0"/>
    <w:rPr>
      <w:rFonts w:eastAsia="楷体" w:cs="Times New Roman"/>
      <w:color w:val="000000"/>
      <w:kern w:val="44"/>
      <w:szCs w:val="36"/>
    </w:rPr>
  </w:style>
  <w:style w:type="paragraph" w:customStyle="1" w:styleId="48">
    <w:name w:val="节"/>
    <w:basedOn w:val="6"/>
    <w:link w:val="49"/>
    <w:qFormat/>
    <w:uiPriority w:val="0"/>
    <w:pPr>
      <w:keepNext w:val="0"/>
      <w:keepLines w:val="0"/>
      <w:spacing w:before="50" w:after="50" w:line="520" w:lineRule="exact"/>
      <w:ind w:firstLine="0" w:firstLineChars="0"/>
      <w:jc w:val="center"/>
    </w:pPr>
    <w:rPr>
      <w:rFonts w:ascii="Times New Roman" w:hAnsi="Times New Roman" w:eastAsia="黑体"/>
      <w:bCs w:val="0"/>
    </w:rPr>
  </w:style>
  <w:style w:type="character" w:customStyle="1" w:styleId="49">
    <w:name w:val="节 字符"/>
    <w:link w:val="48"/>
    <w:qFormat/>
    <w:uiPriority w:val="0"/>
    <w:rPr>
      <w:rFonts w:ascii="Times New Roman" w:hAnsi="Times New Roman" w:eastAsia="黑体"/>
    </w:rPr>
  </w:style>
  <w:style w:type="character" w:customStyle="1" w:styleId="50">
    <w:name w:val="脚注 字符"/>
    <w:basedOn w:val="44"/>
    <w:link w:val="36"/>
    <w:qFormat/>
    <w:uiPriority w:val="0"/>
  </w:style>
  <w:style w:type="paragraph" w:customStyle="1" w:styleId="51">
    <w:name w:val="附表标题"/>
    <w:basedOn w:val="6"/>
    <w:link w:val="52"/>
    <w:qFormat/>
    <w:uiPriority w:val="0"/>
    <w:pPr>
      <w:keepNext w:val="0"/>
      <w:keepLines w:val="0"/>
      <w:numPr>
        <w:ilvl w:val="0"/>
        <w:numId w:val="4"/>
      </w:numPr>
      <w:spacing w:before="50" w:after="50" w:line="400" w:lineRule="exact"/>
      <w:ind w:left="0" w:firstLine="420" w:firstLineChars="0"/>
      <w:jc w:val="center"/>
    </w:pPr>
    <w:rPr>
      <w:rFonts w:ascii="Times New Roman" w:hAnsi="Times New Roman" w:eastAsia="黑体"/>
      <w:b w:val="0"/>
      <w:bCs w:val="0"/>
    </w:rPr>
  </w:style>
  <w:style w:type="character" w:customStyle="1" w:styleId="52">
    <w:name w:val="附表标题 字符"/>
    <w:link w:val="51"/>
    <w:qFormat/>
    <w:uiPriority w:val="0"/>
    <w:rPr>
      <w:rFonts w:ascii="Times New Roman" w:hAnsi="Times New Roman" w:eastAsia="黑体"/>
    </w:rPr>
  </w:style>
  <w:style w:type="paragraph" w:customStyle="1" w:styleId="53">
    <w:name w:val="专栏标题"/>
    <w:basedOn w:val="1"/>
    <w:link w:val="54"/>
    <w:qFormat/>
    <w:uiPriority w:val="0"/>
    <w:pPr>
      <w:spacing w:before="0" w:beforeLines="0" w:after="0" w:afterLines="0" w:line="560" w:lineRule="exact"/>
      <w:ind w:firstLine="0" w:firstLineChars="0"/>
      <w:jc w:val="center"/>
    </w:pPr>
    <w:rPr>
      <w:rFonts w:eastAsia="黑体" w:cs="Times New Roman"/>
    </w:rPr>
  </w:style>
  <w:style w:type="character" w:customStyle="1" w:styleId="54">
    <w:name w:val="专栏标题 字符"/>
    <w:link w:val="53"/>
    <w:qFormat/>
    <w:uiPriority w:val="0"/>
    <w:rPr>
      <w:rFonts w:eastAsia="黑体" w:cs="Times New Roman"/>
    </w:rPr>
  </w:style>
  <w:style w:type="paragraph" w:customStyle="1" w:styleId="55">
    <w:name w:val="专栏内容"/>
    <w:basedOn w:val="1"/>
    <w:link w:val="56"/>
    <w:qFormat/>
    <w:uiPriority w:val="0"/>
    <w:pPr>
      <w:spacing w:beforeLines="0" w:afterLines="0"/>
    </w:pPr>
    <w:rPr>
      <w:sz w:val="28"/>
    </w:rPr>
  </w:style>
  <w:style w:type="character" w:customStyle="1" w:styleId="56">
    <w:name w:val="专栏内容 字符"/>
    <w:link w:val="55"/>
    <w:qFormat/>
    <w:uiPriority w:val="0"/>
    <w:rPr>
      <w:sz w:val="28"/>
    </w:rPr>
  </w:style>
  <w:style w:type="paragraph" w:customStyle="1" w:styleId="57">
    <w:name w:val="章标题"/>
    <w:basedOn w:val="5"/>
    <w:next w:val="58"/>
    <w:link w:val="59"/>
    <w:qFormat/>
    <w:uiPriority w:val="0"/>
    <w:pPr>
      <w:spacing w:before="50" w:after="50" w:line="480" w:lineRule="exact"/>
    </w:pPr>
    <w:rPr>
      <w:sz w:val="32"/>
      <w:szCs w:val="44"/>
    </w:rPr>
  </w:style>
  <w:style w:type="paragraph" w:customStyle="1" w:styleId="58">
    <w:name w:val="章首领文段"/>
    <w:link w:val="60"/>
    <w:qFormat/>
    <w:uiPriority w:val="0"/>
    <w:pPr>
      <w:spacing w:line="480" w:lineRule="exact"/>
      <w:ind w:firstLine="200" w:firstLineChars="200"/>
      <w:jc w:val="both"/>
    </w:pPr>
    <w:rPr>
      <w:rFonts w:ascii="Times New Roman" w:hAnsi="Times New Roman" w:eastAsia="楷体" w:cs="Times New Roman"/>
      <w:sz w:val="28"/>
      <w:lang w:val="en-US" w:eastAsia="zh-CN" w:bidi="ar-SA"/>
    </w:rPr>
  </w:style>
  <w:style w:type="character" w:customStyle="1" w:styleId="59">
    <w:name w:val="章标题 字符"/>
    <w:link w:val="57"/>
    <w:qFormat/>
    <w:uiPriority w:val="0"/>
    <w:rPr>
      <w:sz w:val="32"/>
      <w:szCs w:val="44"/>
    </w:rPr>
  </w:style>
  <w:style w:type="character" w:customStyle="1" w:styleId="60">
    <w:name w:val="章首领文段 字符"/>
    <w:link w:val="58"/>
    <w:qFormat/>
    <w:uiPriority w:val="0"/>
    <w:rPr>
      <w:rFonts w:ascii="Times New Roman" w:hAnsi="Times New Roman" w:eastAsia="楷体" w:cs="Times New Roman"/>
      <w:sz w:val="28"/>
      <w:lang w:val="en-US" w:eastAsia="zh-CN" w:bidi="ar-SA"/>
    </w:rPr>
  </w:style>
  <w:style w:type="paragraph" w:customStyle="1" w:styleId="61">
    <w:name w:val="节标题"/>
    <w:basedOn w:val="6"/>
    <w:link w:val="62"/>
    <w:qFormat/>
    <w:uiPriority w:val="0"/>
    <w:pPr>
      <w:keepNext w:val="0"/>
      <w:keepLines w:val="0"/>
      <w:spacing w:before="50" w:after="50" w:line="480" w:lineRule="exact"/>
      <w:ind w:firstLine="0" w:firstLineChars="0"/>
      <w:jc w:val="center"/>
    </w:pPr>
    <w:rPr>
      <w:rFonts w:ascii="黑体" w:hAnsi="黑体" w:eastAsia="黑体" w:cs="Times New Roman"/>
      <w:bCs w:val="0"/>
      <w:kern w:val="0"/>
      <w:sz w:val="28"/>
    </w:rPr>
  </w:style>
  <w:style w:type="character" w:customStyle="1" w:styleId="62">
    <w:name w:val="节标题 字符"/>
    <w:link w:val="61"/>
    <w:qFormat/>
    <w:uiPriority w:val="0"/>
    <w:rPr>
      <w:rFonts w:ascii="黑体" w:hAnsi="黑体" w:eastAsia="黑体" w:cs="Times New Roman"/>
      <w:kern w:val="0"/>
      <w:sz w:val="28"/>
    </w:rPr>
  </w:style>
  <w:style w:type="paragraph" w:customStyle="1" w:styleId="63">
    <w:name w:val="（一）"/>
    <w:basedOn w:val="8"/>
    <w:link w:val="64"/>
    <w:qFormat/>
    <w:uiPriority w:val="0"/>
    <w:pPr>
      <w:keepNext w:val="0"/>
      <w:keepLines w:val="0"/>
      <w:spacing w:before="0" w:beforeLines="0" w:after="0" w:afterLines="0" w:line="480" w:lineRule="exact"/>
      <w:ind w:left="0" w:firstLine="200"/>
    </w:pPr>
    <w:rPr>
      <w:rFonts w:ascii="Times New Roman" w:hAnsi="Times New Roman" w:eastAsia="华文楷体" w:cs="Times New Roman"/>
      <w:bCs w:val="0"/>
    </w:rPr>
  </w:style>
  <w:style w:type="character" w:customStyle="1" w:styleId="64">
    <w:name w:val="（一） 字符"/>
    <w:link w:val="63"/>
    <w:qFormat/>
    <w:uiPriority w:val="0"/>
    <w:rPr>
      <w:rFonts w:ascii="Times New Roman" w:hAnsi="Times New Roman" w:eastAsia="华文楷体"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3972</Words>
  <Characters>4126</Characters>
  <Lines>0</Lines>
  <Paragraphs>0</Paragraphs>
  <TotalTime>8</TotalTime>
  <ScaleCrop>false</ScaleCrop>
  <LinksUpToDate>false</LinksUpToDate>
  <CharactersWithSpaces>4136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2025-06-04T02:12:00Z</dcterms:created>
  <dc:creator>RAY CAN</dc:creator>
  <cp:lastModifiedBy>90後｀晨爵爷ゞ</cp:lastModifiedBy>
  <dcterms:modified xsi:type="dcterms:W3CDTF">2025-06-05T08:01:53Z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B19A29E4160943AABC575803D3EED04A_13</vt:lpwstr>
  </property>
  <property fmtid="{D5CDD505-2E9C-101B-9397-08002B2CF9AE}" pid="4" name="KSOTemplateDocerSaveRecord">
    <vt:lpwstr>eyJoZGlkIjoiYWM1ZmI0YzUxMDk5NGRhNmExNzVhOTljN2ZiMGYzN2IiLCJ1c2VySWQiOiIyNzQ3Mjg3OTcifQ==</vt:lpwstr>
  </property>
</Properties>
</file>